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70" w:lineRule="exact"/>
        <w:jc w:val="center"/>
        <w:outlineLvl w:val="0"/>
        <w:rPr>
          <w:rFonts w:ascii="方正小标宋简体" w:hAnsi="宋体" w:eastAsia="方正小标宋简体"/>
          <w:color w:val="auto"/>
          <w:sz w:val="72"/>
          <w:szCs w:val="72"/>
          <w:highlight w:val="none"/>
        </w:rPr>
      </w:pPr>
      <w:bookmarkStart w:id="0" w:name="_Toc15306267"/>
    </w:p>
    <w:p>
      <w:pPr>
        <w:pageBreakBefore w:val="0"/>
        <w:kinsoku/>
        <w:wordWrap/>
        <w:overflowPunct/>
        <w:topLinePunct w:val="0"/>
        <w:bidi w:val="0"/>
        <w:spacing w:line="570" w:lineRule="exact"/>
        <w:jc w:val="center"/>
        <w:outlineLvl w:val="0"/>
        <w:rPr>
          <w:rFonts w:ascii="方正小标宋简体" w:hAnsi="宋体" w:eastAsia="方正小标宋简体"/>
          <w:color w:val="auto"/>
          <w:sz w:val="72"/>
          <w:szCs w:val="72"/>
          <w:highlight w:val="none"/>
        </w:rPr>
      </w:pPr>
    </w:p>
    <w:p>
      <w:pPr>
        <w:pageBreakBefore w:val="0"/>
        <w:kinsoku/>
        <w:wordWrap/>
        <w:overflowPunct/>
        <w:topLinePunct w:val="0"/>
        <w:bidi w:val="0"/>
        <w:spacing w:line="570" w:lineRule="exact"/>
        <w:jc w:val="center"/>
        <w:outlineLvl w:val="0"/>
        <w:rPr>
          <w:rFonts w:ascii="方正小标宋简体" w:hAnsi="宋体" w:eastAsia="方正小标宋简体"/>
          <w:color w:val="auto"/>
          <w:sz w:val="72"/>
          <w:szCs w:val="72"/>
          <w:highlight w:val="none"/>
        </w:rPr>
      </w:pPr>
    </w:p>
    <w:p>
      <w:pPr>
        <w:keepNext w:val="0"/>
        <w:keepLines w:val="0"/>
        <w:pageBreakBefore w:val="0"/>
        <w:widowControl w:val="0"/>
        <w:kinsoku/>
        <w:wordWrap/>
        <w:overflowPunct/>
        <w:topLinePunct w:val="0"/>
        <w:autoSpaceDE/>
        <w:autoSpaceDN/>
        <w:bidi w:val="0"/>
        <w:spacing w:line="570" w:lineRule="exact"/>
        <w:jc w:val="center"/>
        <w:textAlignment w:val="auto"/>
        <w:outlineLvl w:val="0"/>
        <w:rPr>
          <w:rFonts w:ascii="方正小标宋简体" w:hAnsi="宋体" w:eastAsia="方正小标宋简体"/>
          <w:color w:val="auto"/>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hint="eastAsia" w:ascii="方正小标宋简体" w:hAnsi="宋体" w:eastAsia="方正小标宋简体"/>
          <w:color w:val="auto"/>
          <w:sz w:val="72"/>
          <w:szCs w:val="72"/>
          <w:highlight w:val="none"/>
          <w:lang w:eastAsia="zh-CN"/>
        </w:rPr>
      </w:pPr>
      <w:bookmarkStart w:id="1" w:name="_Toc10711"/>
      <w:bookmarkStart w:id="2" w:name="_Toc15377425"/>
      <w:bookmarkStart w:id="3" w:name="_Toc15396475"/>
      <w:bookmarkStart w:id="4" w:name="_Toc15396597"/>
      <w:bookmarkStart w:id="5" w:name="_Toc15378441"/>
      <w:bookmarkStart w:id="6" w:name="_Toc15377193"/>
      <w:r>
        <w:rPr>
          <w:rFonts w:hint="eastAsia" w:ascii="方正小标宋简体" w:hAnsi="宋体" w:eastAsia="方正小标宋简体"/>
          <w:color w:val="auto"/>
          <w:sz w:val="72"/>
          <w:szCs w:val="72"/>
          <w:highlight w:val="none"/>
        </w:rPr>
        <w:t>四川省</w:t>
      </w:r>
      <w:r>
        <w:rPr>
          <w:rFonts w:hint="eastAsia" w:ascii="方正小标宋简体" w:hAnsi="宋体" w:eastAsia="方正小标宋简体"/>
          <w:color w:val="auto"/>
          <w:sz w:val="72"/>
          <w:szCs w:val="72"/>
          <w:highlight w:val="none"/>
          <w:lang w:eastAsia="zh-CN"/>
        </w:rPr>
        <w:t>达州市</w:t>
      </w:r>
      <w:bookmarkEnd w:id="1"/>
    </w:p>
    <w:p>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hint="eastAsia" w:ascii="方正小标宋简体" w:hAnsi="宋体" w:eastAsia="方正小标宋简体"/>
          <w:color w:val="auto"/>
          <w:sz w:val="72"/>
          <w:szCs w:val="72"/>
          <w:highlight w:val="none"/>
          <w:lang w:eastAsia="zh-CN"/>
        </w:rPr>
      </w:pPr>
      <w:bookmarkStart w:id="7" w:name="_Toc6274"/>
      <w:r>
        <w:rPr>
          <w:rFonts w:ascii="黑体" w:hAnsi="黑体" w:eastAsia="黑体"/>
          <w:sz w:val="72"/>
          <w:szCs w:val="72"/>
        </w:rPr>
        <w:t>2018</w:t>
      </w:r>
      <w:r>
        <w:rPr>
          <w:rFonts w:hint="eastAsia" w:ascii="方正小标宋简体" w:hAnsi="宋体" w:eastAsia="方正小标宋简体"/>
          <w:sz w:val="72"/>
          <w:szCs w:val="72"/>
        </w:rPr>
        <w:t>年度</w:t>
      </w:r>
      <w:r>
        <w:rPr>
          <w:rFonts w:hint="eastAsia" w:ascii="方正小标宋简体" w:hAnsi="宋体" w:eastAsia="方正小标宋简体"/>
          <w:color w:val="auto"/>
          <w:sz w:val="72"/>
          <w:szCs w:val="72"/>
          <w:highlight w:val="none"/>
          <w:lang w:eastAsia="zh-CN"/>
        </w:rPr>
        <w:t>住房和城乡建设局</w:t>
      </w:r>
      <w:r>
        <w:rPr>
          <w:rFonts w:hint="eastAsia" w:ascii="方正小标宋简体" w:hAnsi="宋体" w:eastAsia="方正小标宋简体"/>
          <w:sz w:val="72"/>
          <w:szCs w:val="72"/>
        </w:rPr>
        <w:t>部门决算</w:t>
      </w:r>
      <w:bookmarkEnd w:id="0"/>
      <w:bookmarkEnd w:id="2"/>
      <w:bookmarkEnd w:id="3"/>
      <w:bookmarkEnd w:id="4"/>
      <w:bookmarkEnd w:id="5"/>
      <w:bookmarkEnd w:id="6"/>
      <w:bookmarkEnd w:id="7"/>
    </w:p>
    <w:p>
      <w:pPr>
        <w:keepNext w:val="0"/>
        <w:keepLines w:val="0"/>
        <w:pageBreakBefore w:val="0"/>
        <w:widowControl/>
        <w:kinsoku/>
        <w:wordWrap/>
        <w:overflowPunct/>
        <w:topLinePunct w:val="0"/>
        <w:autoSpaceDE/>
        <w:autoSpaceDN/>
        <w:bidi w:val="0"/>
        <w:spacing w:line="900" w:lineRule="exact"/>
        <w:jc w:val="center"/>
        <w:textAlignment w:val="auto"/>
        <w:rPr>
          <w:rFonts w:hint="eastAsia" w:ascii="方正小标宋简体" w:hAnsi="宋体" w:eastAsia="方正小标宋简体"/>
          <w:color w:val="auto"/>
          <w:sz w:val="36"/>
          <w:szCs w:val="36"/>
          <w:highlight w:val="none"/>
          <w:lang w:eastAsia="zh-CN"/>
        </w:rPr>
      </w:pPr>
    </w:p>
    <w:p>
      <w:pPr>
        <w:keepNext w:val="0"/>
        <w:keepLines w:val="0"/>
        <w:pageBreakBefore w:val="0"/>
        <w:widowControl/>
        <w:kinsoku/>
        <w:wordWrap/>
        <w:overflowPunct/>
        <w:topLinePunct w:val="0"/>
        <w:autoSpaceDE/>
        <w:autoSpaceDN/>
        <w:bidi w:val="0"/>
        <w:spacing w:line="900" w:lineRule="exact"/>
        <w:jc w:val="center"/>
        <w:textAlignment w:val="auto"/>
        <w:rPr>
          <w:rFonts w:ascii="方正小标宋简体" w:hAnsi="宋体" w:eastAsia="方正小标宋简体"/>
          <w:color w:val="auto"/>
          <w:sz w:val="36"/>
          <w:szCs w:val="36"/>
          <w:highlight w:val="none"/>
        </w:rPr>
      </w:pPr>
      <w:r>
        <w:rPr>
          <w:rFonts w:ascii="方正小标宋简体" w:hAnsi="宋体" w:eastAsia="方正小标宋简体"/>
          <w:color w:val="auto"/>
          <w:sz w:val="36"/>
          <w:szCs w:val="36"/>
          <w:highlight w:val="none"/>
        </w:rPr>
        <w:br w:type="page"/>
      </w:r>
    </w:p>
    <w:p>
      <w:pPr>
        <w:pageBreakBefore w:val="0"/>
        <w:widowControl/>
        <w:kinsoku/>
        <w:wordWrap/>
        <w:overflowPunct/>
        <w:topLinePunct w:val="0"/>
        <w:bidi w:val="0"/>
        <w:spacing w:line="570" w:lineRule="exact"/>
        <w:jc w:val="center"/>
        <w:rPr>
          <w:rFonts w:ascii="方正小标宋简体" w:hAnsi="宋体" w:eastAsia="方正小标宋简体"/>
          <w:color w:val="auto"/>
          <w:sz w:val="36"/>
          <w:szCs w:val="36"/>
          <w:highlight w:val="none"/>
        </w:rPr>
      </w:pPr>
    </w:p>
    <w:p>
      <w:pPr>
        <w:pageBreakBefore w:val="0"/>
        <w:widowControl/>
        <w:kinsoku/>
        <w:wordWrap/>
        <w:overflowPunct/>
        <w:topLinePunct w:val="0"/>
        <w:bidi w:val="0"/>
        <w:spacing w:line="570" w:lineRule="exact"/>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pStyle w:val="11"/>
        <w:pageBreakBefore w:val="0"/>
        <w:tabs>
          <w:tab w:val="right" w:leader="dot" w:pos="8306"/>
          <w:tab w:val="clear" w:pos="8296"/>
        </w:tabs>
        <w:kinsoku/>
        <w:wordWrap/>
        <w:overflowPunct/>
        <w:topLinePunct w:val="0"/>
        <w:bidi w:val="0"/>
        <w:spacing w:before="0" w:line="570" w:lineRule="exact"/>
        <w:rPr>
          <w:color w:val="auto"/>
          <w:highlight w:val="none"/>
        </w:rPr>
      </w:pPr>
      <w:r>
        <w:rPr>
          <w:rFonts w:ascii="黑体" w:hAnsi="黑体" w:eastAsia="黑体"/>
          <w:color w:val="auto"/>
          <w:sz w:val="48"/>
          <w:szCs w:val="48"/>
          <w:highlight w:val="none"/>
        </w:rPr>
        <w:fldChar w:fldCharType="begin"/>
      </w:r>
      <w:r>
        <w:rPr>
          <w:rFonts w:ascii="黑体" w:hAnsi="黑体" w:eastAsia="黑体"/>
          <w:color w:val="auto"/>
          <w:sz w:val="48"/>
          <w:szCs w:val="48"/>
          <w:highlight w:val="none"/>
        </w:rPr>
        <w:instrText xml:space="preserve"> TOC \o "1-2" \h \z \u </w:instrText>
      </w:r>
      <w:r>
        <w:rPr>
          <w:rFonts w:ascii="黑体" w:hAnsi="黑体" w:eastAsia="黑体"/>
          <w:color w:val="auto"/>
          <w:sz w:val="48"/>
          <w:szCs w:val="48"/>
          <w:highlight w:val="none"/>
        </w:rPr>
        <w:fldChar w:fldCharType="separate"/>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570" w:lineRule="exact"/>
        <w:textAlignment w:val="auto"/>
        <w:outlineLvl w:val="9"/>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HYPERLINK \l _Toc12401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第一部分 部门概况</w:t>
      </w:r>
      <w:r>
        <w:rPr>
          <w:rFonts w:hint="eastAsia" w:ascii="仿宋" w:hAnsi="仿宋" w:eastAsia="仿宋" w:cs="仿宋"/>
          <w:b/>
          <w:bCs/>
          <w:color w:val="auto"/>
          <w:sz w:val="30"/>
          <w:szCs w:val="30"/>
          <w:highlight w:val="none"/>
        </w:rPr>
        <w:tab/>
      </w: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PAGEREF _Toc12401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4</w:t>
      </w:r>
      <w:r>
        <w:rPr>
          <w:rFonts w:hint="eastAsia" w:ascii="仿宋" w:hAnsi="仿宋" w:eastAsia="仿宋" w:cs="仿宋"/>
          <w:b/>
          <w:bCs/>
          <w:color w:val="auto"/>
          <w:sz w:val="30"/>
          <w:szCs w:val="30"/>
          <w:highlight w:val="none"/>
        </w:rPr>
        <w:fldChar w:fldCharType="end"/>
      </w:r>
      <w:r>
        <w:rPr>
          <w:rFonts w:hint="eastAsia" w:ascii="仿宋" w:hAnsi="仿宋" w:eastAsia="仿宋" w:cs="仿宋"/>
          <w:b/>
          <w:bCs/>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_Toc14678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一、基</w:t>
      </w:r>
      <w:r>
        <w:rPr>
          <w:rFonts w:hint="eastAsia" w:ascii="仿宋" w:hAnsi="仿宋" w:eastAsia="仿宋" w:cs="仿宋"/>
          <w:bCs w:val="0"/>
          <w:color w:val="auto"/>
          <w:sz w:val="30"/>
          <w:szCs w:val="30"/>
          <w:highlight w:val="none"/>
        </w:rPr>
        <w:t>本职能及主要工作</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_Toc14678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4</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_Toc8986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二、机</w:t>
      </w:r>
      <w:r>
        <w:rPr>
          <w:rFonts w:hint="eastAsia" w:ascii="仿宋" w:hAnsi="仿宋" w:eastAsia="仿宋" w:cs="仿宋"/>
          <w:bCs w:val="0"/>
          <w:color w:val="auto"/>
          <w:sz w:val="30"/>
          <w:szCs w:val="30"/>
          <w:highlight w:val="none"/>
        </w:rPr>
        <w:t>构设置</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_Toc8986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11</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570" w:lineRule="exact"/>
        <w:textAlignment w:val="auto"/>
        <w:outlineLvl w:val="9"/>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HYPERLINK \l _Toc17001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第二部分 2018年度部门决算情况说明</w:t>
      </w:r>
      <w:r>
        <w:rPr>
          <w:rFonts w:hint="eastAsia" w:ascii="仿宋" w:hAnsi="仿宋" w:eastAsia="仿宋" w:cs="仿宋"/>
          <w:b/>
          <w:bCs/>
          <w:color w:val="auto"/>
          <w:sz w:val="30"/>
          <w:szCs w:val="30"/>
          <w:highlight w:val="none"/>
        </w:rPr>
        <w:tab/>
      </w: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PAGEREF _Toc17001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13</w:t>
      </w:r>
      <w:r>
        <w:rPr>
          <w:rFonts w:hint="eastAsia" w:ascii="仿宋" w:hAnsi="仿宋" w:eastAsia="仿宋" w:cs="仿宋"/>
          <w:b/>
          <w:bCs/>
          <w:color w:val="auto"/>
          <w:sz w:val="30"/>
          <w:szCs w:val="30"/>
          <w:highlight w:val="none"/>
        </w:rPr>
        <w:fldChar w:fldCharType="end"/>
      </w:r>
      <w:r>
        <w:rPr>
          <w:rFonts w:hint="eastAsia" w:ascii="仿宋" w:hAnsi="仿宋" w:eastAsia="仿宋" w:cs="仿宋"/>
          <w:b/>
          <w:bCs/>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_Toc20699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一、 收入支出决算总体情况说明</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_Toc20699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13</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_Toc6613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二、 收入决算情况说明</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_Toc6613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13</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_Toc30118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三、 支出决算情况说明</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_Toc30118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14</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_Toc17133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四、财政拨款收入支出决算总体情况说明</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_Toc17133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15</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_Toc27159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五、一般公共预算财政拨款支出决算情况说明</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_Toc27159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15</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_Toc29705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六、一般公共预算财政拨款基本支出决算情况说明</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_Toc29705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19</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_Toc4756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七、“三公”经费财政拨款支出决算情况说明</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_Toc4756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_Toc4539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八、政府性基金预算支出决算情况说明</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_Toc4539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22</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_Toc5156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九、 国有资本经营预算支出决算情况说明</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_Toc5156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22</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_Toc7362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十、 预算绩效情况说明</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_Toc7362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23</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_Toc25870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十一、其他重要事项的情况说明</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_Toc25870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25</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HYPERLINK \l _Toc28839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第三部分 名词解释</w:t>
      </w:r>
      <w:r>
        <w:rPr>
          <w:rFonts w:hint="eastAsia" w:ascii="仿宋" w:hAnsi="仿宋" w:eastAsia="仿宋" w:cs="仿宋"/>
          <w:b/>
          <w:bCs/>
          <w:color w:val="auto"/>
          <w:sz w:val="30"/>
          <w:szCs w:val="30"/>
          <w:highlight w:val="none"/>
        </w:rPr>
        <w:tab/>
      </w: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PAGEREF _Toc28839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26</w:t>
      </w:r>
      <w:r>
        <w:rPr>
          <w:rFonts w:hint="eastAsia" w:ascii="仿宋" w:hAnsi="仿宋" w:eastAsia="仿宋" w:cs="仿宋"/>
          <w:b/>
          <w:bCs/>
          <w:color w:val="auto"/>
          <w:sz w:val="30"/>
          <w:szCs w:val="30"/>
          <w:highlight w:val="none"/>
        </w:rPr>
        <w:fldChar w:fldCharType="end"/>
      </w:r>
      <w:r>
        <w:rPr>
          <w:rFonts w:hint="eastAsia" w:ascii="仿宋" w:hAnsi="仿宋" w:eastAsia="仿宋" w:cs="仿宋"/>
          <w:b/>
          <w:bCs/>
          <w:color w:val="auto"/>
          <w:sz w:val="30"/>
          <w:szCs w:val="30"/>
          <w:highlight w:val="none"/>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HYPERLINK \l _Toc16272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第四部分 附件</w:t>
      </w:r>
      <w:r>
        <w:rPr>
          <w:rFonts w:hint="eastAsia" w:ascii="仿宋" w:hAnsi="仿宋" w:eastAsia="仿宋" w:cs="仿宋"/>
          <w:b/>
          <w:bCs/>
          <w:color w:val="auto"/>
          <w:sz w:val="30"/>
          <w:szCs w:val="30"/>
          <w:highlight w:val="none"/>
        </w:rPr>
        <w:tab/>
      </w: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PAGEREF _Toc16272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30</w:t>
      </w:r>
      <w:r>
        <w:rPr>
          <w:rFonts w:hint="eastAsia" w:ascii="仿宋" w:hAnsi="仿宋" w:eastAsia="仿宋" w:cs="仿宋"/>
          <w:b/>
          <w:bCs/>
          <w:color w:val="auto"/>
          <w:sz w:val="30"/>
          <w:szCs w:val="30"/>
          <w:highlight w:val="none"/>
        </w:rPr>
        <w:fldChar w:fldCharType="end"/>
      </w:r>
      <w:r>
        <w:rPr>
          <w:rFonts w:hint="eastAsia" w:ascii="仿宋" w:hAnsi="仿宋" w:eastAsia="仿宋" w:cs="仿宋"/>
          <w:b/>
          <w:bCs/>
          <w:color w:val="auto"/>
          <w:sz w:val="30"/>
          <w:szCs w:val="30"/>
          <w:highlight w:val="none"/>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570" w:lineRule="exact"/>
        <w:textAlignment w:val="auto"/>
        <w:outlineLvl w:val="9"/>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HYPERLINK \l _Toc30025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第五部分 附表</w:t>
      </w:r>
      <w:r>
        <w:rPr>
          <w:rFonts w:hint="eastAsia" w:ascii="仿宋" w:hAnsi="仿宋" w:eastAsia="仿宋" w:cs="仿宋"/>
          <w:b/>
          <w:bCs/>
          <w:color w:val="auto"/>
          <w:sz w:val="30"/>
          <w:szCs w:val="30"/>
          <w:highlight w:val="none"/>
        </w:rPr>
        <w:tab/>
      </w: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PAGEREF _Toc30025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36</w:t>
      </w:r>
      <w:r>
        <w:rPr>
          <w:rFonts w:hint="eastAsia" w:ascii="仿宋" w:hAnsi="仿宋" w:eastAsia="仿宋" w:cs="仿宋"/>
          <w:b/>
          <w:bCs/>
          <w:color w:val="auto"/>
          <w:sz w:val="30"/>
          <w:szCs w:val="30"/>
          <w:highlight w:val="none"/>
        </w:rPr>
        <w:fldChar w:fldCharType="end"/>
      </w:r>
      <w:r>
        <w:rPr>
          <w:rFonts w:hint="eastAsia" w:ascii="仿宋" w:hAnsi="仿宋" w:eastAsia="仿宋" w:cs="仿宋"/>
          <w:b/>
          <w:bCs/>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_Toc4668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一、收</w:t>
      </w:r>
      <w:r>
        <w:rPr>
          <w:rFonts w:hint="eastAsia" w:ascii="仿宋" w:hAnsi="仿宋" w:eastAsia="仿宋" w:cs="仿宋"/>
          <w:bCs w:val="0"/>
          <w:color w:val="auto"/>
          <w:sz w:val="30"/>
          <w:szCs w:val="30"/>
          <w:highlight w:val="none"/>
        </w:rPr>
        <w:t>入支出决算总表</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_Toc4668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_Toc10336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二、收</w:t>
      </w:r>
      <w:r>
        <w:rPr>
          <w:rFonts w:hint="eastAsia" w:ascii="仿宋" w:hAnsi="仿宋" w:eastAsia="仿宋" w:cs="仿宋"/>
          <w:bCs w:val="0"/>
          <w:color w:val="auto"/>
          <w:sz w:val="30"/>
          <w:szCs w:val="30"/>
          <w:highlight w:val="none"/>
        </w:rPr>
        <w:t>入总表</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_Toc10336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_Toc28646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val="0"/>
          <w:color w:val="auto"/>
          <w:sz w:val="30"/>
          <w:szCs w:val="30"/>
          <w:highlight w:val="none"/>
        </w:rPr>
        <w:t>三、</w:t>
      </w:r>
      <w:r>
        <w:rPr>
          <w:rFonts w:hint="eastAsia" w:ascii="仿宋" w:hAnsi="仿宋" w:eastAsia="仿宋" w:cs="仿宋"/>
          <w:color w:val="auto"/>
          <w:sz w:val="30"/>
          <w:szCs w:val="30"/>
          <w:highlight w:val="none"/>
        </w:rPr>
        <w:t>支</w:t>
      </w:r>
      <w:r>
        <w:rPr>
          <w:rFonts w:hint="eastAsia" w:ascii="仿宋" w:hAnsi="仿宋" w:eastAsia="仿宋" w:cs="仿宋"/>
          <w:bCs w:val="0"/>
          <w:color w:val="auto"/>
          <w:sz w:val="30"/>
          <w:szCs w:val="30"/>
          <w:highlight w:val="none"/>
        </w:rPr>
        <w:t>出总表</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_Toc28646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_Toc18608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val="0"/>
          <w:color w:val="auto"/>
          <w:sz w:val="30"/>
          <w:szCs w:val="30"/>
          <w:highlight w:val="none"/>
        </w:rPr>
        <w:t>四、</w:t>
      </w:r>
      <w:r>
        <w:rPr>
          <w:rFonts w:hint="eastAsia" w:ascii="仿宋" w:hAnsi="仿宋" w:eastAsia="仿宋" w:cs="仿宋"/>
          <w:color w:val="auto"/>
          <w:sz w:val="30"/>
          <w:szCs w:val="30"/>
          <w:highlight w:val="none"/>
        </w:rPr>
        <w:t>财</w:t>
      </w:r>
      <w:r>
        <w:rPr>
          <w:rFonts w:hint="eastAsia" w:ascii="仿宋" w:hAnsi="仿宋" w:eastAsia="仿宋" w:cs="仿宋"/>
          <w:bCs w:val="0"/>
          <w:color w:val="auto"/>
          <w:sz w:val="30"/>
          <w:szCs w:val="30"/>
          <w:highlight w:val="none"/>
        </w:rPr>
        <w:t>政拨款收入支出决算总表</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_Toc18608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_Toc2226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val="0"/>
          <w:color w:val="auto"/>
          <w:sz w:val="30"/>
          <w:szCs w:val="30"/>
          <w:highlight w:val="none"/>
        </w:rPr>
        <w:t>五、</w:t>
      </w:r>
      <w:r>
        <w:rPr>
          <w:rFonts w:hint="eastAsia" w:ascii="仿宋" w:hAnsi="仿宋" w:eastAsia="仿宋" w:cs="仿宋"/>
          <w:color w:val="auto"/>
          <w:sz w:val="30"/>
          <w:szCs w:val="30"/>
          <w:highlight w:val="none"/>
        </w:rPr>
        <w:t>财</w:t>
      </w:r>
      <w:r>
        <w:rPr>
          <w:rFonts w:hint="eastAsia" w:ascii="仿宋" w:hAnsi="仿宋" w:eastAsia="仿宋" w:cs="仿宋"/>
          <w:bCs w:val="0"/>
          <w:color w:val="auto"/>
          <w:sz w:val="30"/>
          <w:szCs w:val="30"/>
          <w:highlight w:val="none"/>
        </w:rPr>
        <w:t>政拨款支出决算明细表（政府经济分类科目）</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_Toc2226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_Toc8258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val="0"/>
          <w:color w:val="auto"/>
          <w:sz w:val="30"/>
          <w:szCs w:val="30"/>
          <w:highlight w:val="none"/>
        </w:rPr>
        <w:t>六、</w:t>
      </w:r>
      <w:r>
        <w:rPr>
          <w:rFonts w:hint="eastAsia" w:ascii="仿宋" w:hAnsi="仿宋" w:eastAsia="仿宋" w:cs="仿宋"/>
          <w:color w:val="auto"/>
          <w:sz w:val="30"/>
          <w:szCs w:val="30"/>
          <w:highlight w:val="none"/>
        </w:rPr>
        <w:t>一</w:t>
      </w:r>
      <w:r>
        <w:rPr>
          <w:rFonts w:hint="eastAsia" w:ascii="仿宋" w:hAnsi="仿宋" w:eastAsia="仿宋" w:cs="仿宋"/>
          <w:bCs w:val="0"/>
          <w:color w:val="auto"/>
          <w:sz w:val="30"/>
          <w:szCs w:val="30"/>
          <w:highlight w:val="none"/>
        </w:rPr>
        <w:t>般公共预算财政拨款支出决算表</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_Toc8258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_Toc28351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val="0"/>
          <w:color w:val="auto"/>
          <w:sz w:val="30"/>
          <w:szCs w:val="30"/>
          <w:highlight w:val="none"/>
        </w:rPr>
        <w:t>七、</w:t>
      </w:r>
      <w:r>
        <w:rPr>
          <w:rFonts w:hint="eastAsia" w:ascii="仿宋" w:hAnsi="仿宋" w:eastAsia="仿宋" w:cs="仿宋"/>
          <w:color w:val="auto"/>
          <w:sz w:val="30"/>
          <w:szCs w:val="30"/>
          <w:highlight w:val="none"/>
        </w:rPr>
        <w:t>一</w:t>
      </w:r>
      <w:r>
        <w:rPr>
          <w:rFonts w:hint="eastAsia" w:ascii="仿宋" w:hAnsi="仿宋" w:eastAsia="仿宋" w:cs="仿宋"/>
          <w:bCs w:val="0"/>
          <w:color w:val="auto"/>
          <w:sz w:val="30"/>
          <w:szCs w:val="30"/>
          <w:highlight w:val="none"/>
        </w:rPr>
        <w:t>般公共预算财政拨款支出决算明细表</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_Toc28351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_Toc12271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val="0"/>
          <w:color w:val="auto"/>
          <w:sz w:val="30"/>
          <w:szCs w:val="30"/>
          <w:highlight w:val="none"/>
        </w:rPr>
        <w:t>八、</w:t>
      </w:r>
      <w:r>
        <w:rPr>
          <w:rFonts w:hint="eastAsia" w:ascii="仿宋" w:hAnsi="仿宋" w:eastAsia="仿宋" w:cs="仿宋"/>
          <w:color w:val="auto"/>
          <w:sz w:val="30"/>
          <w:szCs w:val="30"/>
          <w:highlight w:val="none"/>
        </w:rPr>
        <w:t>一</w:t>
      </w:r>
      <w:r>
        <w:rPr>
          <w:rFonts w:hint="eastAsia" w:ascii="仿宋" w:hAnsi="仿宋" w:eastAsia="仿宋" w:cs="仿宋"/>
          <w:bCs w:val="0"/>
          <w:color w:val="auto"/>
          <w:sz w:val="30"/>
          <w:szCs w:val="30"/>
          <w:highlight w:val="none"/>
        </w:rPr>
        <w:t>般公共预算财政拨款基本支出决算表</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_Toc12271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_Toc25047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val="0"/>
          <w:color w:val="auto"/>
          <w:sz w:val="30"/>
          <w:szCs w:val="30"/>
          <w:highlight w:val="none"/>
        </w:rPr>
        <w:t>九、</w:t>
      </w:r>
      <w:r>
        <w:rPr>
          <w:rFonts w:hint="eastAsia" w:ascii="仿宋" w:hAnsi="仿宋" w:eastAsia="仿宋" w:cs="仿宋"/>
          <w:color w:val="auto"/>
          <w:sz w:val="30"/>
          <w:szCs w:val="30"/>
          <w:highlight w:val="none"/>
        </w:rPr>
        <w:t>一</w:t>
      </w:r>
      <w:r>
        <w:rPr>
          <w:rFonts w:hint="eastAsia" w:ascii="仿宋" w:hAnsi="仿宋" w:eastAsia="仿宋" w:cs="仿宋"/>
          <w:bCs w:val="0"/>
          <w:color w:val="auto"/>
          <w:sz w:val="30"/>
          <w:szCs w:val="30"/>
          <w:highlight w:val="none"/>
        </w:rPr>
        <w:t>般公共预算财政拨款项目支出决算表</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_Toc25047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_Toc14695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val="0"/>
          <w:color w:val="auto"/>
          <w:sz w:val="30"/>
          <w:szCs w:val="30"/>
          <w:highlight w:val="none"/>
        </w:rPr>
        <w:t>十、</w:t>
      </w:r>
      <w:r>
        <w:rPr>
          <w:rFonts w:hint="eastAsia" w:ascii="仿宋" w:hAnsi="仿宋" w:eastAsia="仿宋" w:cs="仿宋"/>
          <w:color w:val="auto"/>
          <w:sz w:val="30"/>
          <w:szCs w:val="30"/>
          <w:highlight w:val="none"/>
        </w:rPr>
        <w:t>一</w:t>
      </w:r>
      <w:r>
        <w:rPr>
          <w:rFonts w:hint="eastAsia" w:ascii="仿宋" w:hAnsi="仿宋" w:eastAsia="仿宋" w:cs="仿宋"/>
          <w:bCs w:val="0"/>
          <w:color w:val="auto"/>
          <w:sz w:val="30"/>
          <w:szCs w:val="30"/>
          <w:highlight w:val="none"/>
        </w:rPr>
        <w:t>般公共预算财政拨款“三公”经费支出决算表</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_Toc14695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_Toc16845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val="0"/>
          <w:color w:val="auto"/>
          <w:sz w:val="30"/>
          <w:szCs w:val="30"/>
          <w:highlight w:val="none"/>
        </w:rPr>
        <w:t>十一、</w:t>
      </w:r>
      <w:r>
        <w:rPr>
          <w:rFonts w:hint="eastAsia" w:ascii="仿宋" w:hAnsi="仿宋" w:eastAsia="仿宋" w:cs="仿宋"/>
          <w:color w:val="auto"/>
          <w:sz w:val="30"/>
          <w:szCs w:val="30"/>
          <w:highlight w:val="none"/>
        </w:rPr>
        <w:t>政</w:t>
      </w:r>
      <w:r>
        <w:rPr>
          <w:rFonts w:hint="eastAsia" w:ascii="仿宋" w:hAnsi="仿宋" w:eastAsia="仿宋" w:cs="仿宋"/>
          <w:bCs w:val="0"/>
          <w:color w:val="auto"/>
          <w:sz w:val="30"/>
          <w:szCs w:val="30"/>
          <w:highlight w:val="none"/>
        </w:rPr>
        <w:t>府性基金预算财政拨款收入支出决算表</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_Toc16845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_Toc13964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val="0"/>
          <w:color w:val="auto"/>
          <w:sz w:val="30"/>
          <w:szCs w:val="30"/>
          <w:highlight w:val="none"/>
        </w:rPr>
        <w:t>十二、</w:t>
      </w:r>
      <w:r>
        <w:rPr>
          <w:rFonts w:hint="eastAsia" w:ascii="仿宋" w:hAnsi="仿宋" w:eastAsia="仿宋" w:cs="仿宋"/>
          <w:color w:val="auto"/>
          <w:sz w:val="30"/>
          <w:szCs w:val="30"/>
          <w:highlight w:val="none"/>
        </w:rPr>
        <w:t>政</w:t>
      </w:r>
      <w:r>
        <w:rPr>
          <w:rFonts w:hint="eastAsia" w:ascii="仿宋" w:hAnsi="仿宋" w:eastAsia="仿宋" w:cs="仿宋"/>
          <w:bCs w:val="0"/>
          <w:color w:val="auto"/>
          <w:sz w:val="30"/>
          <w:szCs w:val="30"/>
          <w:highlight w:val="none"/>
        </w:rPr>
        <w:t>府性基金预算财政拨款“三公”经费支出决算表</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_Toc13964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_Toc15594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val="0"/>
          <w:color w:val="auto"/>
          <w:sz w:val="30"/>
          <w:szCs w:val="30"/>
          <w:highlight w:val="none"/>
        </w:rPr>
        <w:t>十三、</w:t>
      </w:r>
      <w:r>
        <w:rPr>
          <w:rFonts w:hint="eastAsia" w:ascii="仿宋" w:hAnsi="仿宋" w:eastAsia="仿宋" w:cs="仿宋"/>
          <w:color w:val="auto"/>
          <w:sz w:val="30"/>
          <w:szCs w:val="30"/>
          <w:highlight w:val="none"/>
        </w:rPr>
        <w:t>国</w:t>
      </w:r>
      <w:r>
        <w:rPr>
          <w:rFonts w:hint="eastAsia" w:ascii="仿宋" w:hAnsi="仿宋" w:eastAsia="仿宋" w:cs="仿宋"/>
          <w:bCs w:val="0"/>
          <w:color w:val="auto"/>
          <w:sz w:val="30"/>
          <w:szCs w:val="30"/>
          <w:highlight w:val="none"/>
        </w:rPr>
        <w:t>有资本经营预算支出决算表</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_Toc15594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ageBreakBefore w:val="0"/>
        <w:widowControl/>
        <w:kinsoku/>
        <w:wordWrap/>
        <w:overflowPunct/>
        <w:topLinePunct w:val="0"/>
        <w:bidi w:val="0"/>
        <w:spacing w:line="570" w:lineRule="exact"/>
        <w:jc w:val="left"/>
        <w:rPr>
          <w:rFonts w:ascii="仿宋" w:hAnsi="仿宋" w:eastAsia="仿宋"/>
          <w:color w:val="auto"/>
          <w:sz w:val="24"/>
          <w:highlight w:val="none"/>
        </w:rPr>
      </w:pPr>
      <w:r>
        <w:rPr>
          <w:rFonts w:ascii="仿宋" w:hAnsi="仿宋" w:eastAsia="仿宋"/>
          <w:color w:val="auto"/>
          <w:highlight w:val="none"/>
        </w:rPr>
        <w:fldChar w:fldCharType="end"/>
      </w:r>
    </w:p>
    <w:p>
      <w:pPr>
        <w:pageBreakBefore w:val="0"/>
        <w:widowControl/>
        <w:kinsoku/>
        <w:wordWrap/>
        <w:overflowPunct/>
        <w:topLinePunct w:val="0"/>
        <w:bidi w:val="0"/>
        <w:spacing w:line="570" w:lineRule="exact"/>
        <w:jc w:val="left"/>
        <w:rPr>
          <w:rFonts w:ascii="黑体" w:hAnsi="黑体" w:eastAsia="黑体"/>
          <w:bCs/>
          <w:color w:val="auto"/>
          <w:kern w:val="44"/>
          <w:sz w:val="44"/>
          <w:szCs w:val="44"/>
          <w:highlight w:val="none"/>
        </w:rPr>
      </w:pPr>
      <w:bookmarkStart w:id="8" w:name="_Toc15377196"/>
      <w:r>
        <w:rPr>
          <w:rFonts w:ascii="黑体" w:hAnsi="黑体" w:eastAsia="黑体"/>
          <w:b/>
          <w:color w:val="auto"/>
          <w:highlight w:val="none"/>
        </w:rPr>
        <w:br w:type="page"/>
      </w:r>
    </w:p>
    <w:p>
      <w:pPr>
        <w:pStyle w:val="3"/>
        <w:pageBreakBefore w:val="0"/>
        <w:kinsoku/>
        <w:wordWrap/>
        <w:overflowPunct/>
        <w:topLinePunct w:val="0"/>
        <w:bidi w:val="0"/>
        <w:spacing w:before="0" w:after="0" w:line="570" w:lineRule="exact"/>
        <w:jc w:val="center"/>
        <w:rPr>
          <w:rFonts w:hint="eastAsia" w:ascii="黑体" w:hAnsi="黑体" w:eastAsia="黑体"/>
          <w:b w:val="0"/>
          <w:color w:val="auto"/>
          <w:highlight w:val="none"/>
        </w:rPr>
      </w:pPr>
      <w:bookmarkStart w:id="9" w:name="_Toc12401"/>
    </w:p>
    <w:p>
      <w:pPr>
        <w:pStyle w:val="3"/>
        <w:pageBreakBefore w:val="0"/>
        <w:kinsoku/>
        <w:wordWrap/>
        <w:overflowPunct/>
        <w:topLinePunct w:val="0"/>
        <w:bidi w:val="0"/>
        <w:spacing w:before="0" w:after="0" w:line="570" w:lineRule="exact"/>
        <w:jc w:val="center"/>
        <w:rPr>
          <w:rStyle w:val="26"/>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6"/>
          <w:rFonts w:hint="eastAsia" w:ascii="黑体" w:hAnsi="黑体" w:eastAsia="黑体"/>
          <w:b w:val="0"/>
          <w:bCs w:val="0"/>
          <w:color w:val="auto"/>
          <w:highlight w:val="none"/>
        </w:rPr>
        <w:t>部门概况</w:t>
      </w:r>
      <w:bookmarkEnd w:id="8"/>
      <w:bookmarkEnd w:id="9"/>
    </w:p>
    <w:p>
      <w:pPr>
        <w:pageBreakBefore w:val="0"/>
        <w:widowControl/>
        <w:kinsoku/>
        <w:wordWrap/>
        <w:overflowPunct/>
        <w:topLinePunct w:val="0"/>
        <w:bidi w:val="0"/>
        <w:spacing w:line="570" w:lineRule="exact"/>
        <w:jc w:val="left"/>
        <w:rPr>
          <w:rFonts w:ascii="黑体" w:eastAsia="黑体"/>
          <w:color w:val="auto"/>
          <w:sz w:val="32"/>
          <w:szCs w:val="32"/>
          <w:highlight w:val="none"/>
        </w:rPr>
      </w:pPr>
    </w:p>
    <w:p>
      <w:pPr>
        <w:pStyle w:val="4"/>
        <w:pageBreakBefore w:val="0"/>
        <w:kinsoku/>
        <w:wordWrap/>
        <w:overflowPunct/>
        <w:topLinePunct w:val="0"/>
        <w:bidi w:val="0"/>
        <w:spacing w:before="0" w:after="0" w:line="570" w:lineRule="exact"/>
        <w:ind w:firstLine="640" w:firstLineChars="200"/>
        <w:rPr>
          <w:rStyle w:val="27"/>
          <w:rFonts w:ascii="仿宋" w:hAnsi="仿宋" w:eastAsia="仿宋"/>
          <w:b w:val="0"/>
          <w:bCs w:val="0"/>
          <w:color w:val="auto"/>
          <w:highlight w:val="none"/>
        </w:rPr>
      </w:pPr>
      <w:bookmarkStart w:id="10" w:name="_Toc14678"/>
      <w:bookmarkStart w:id="11" w:name="_Toc15377197"/>
      <w:r>
        <w:rPr>
          <w:rFonts w:hint="eastAsia" w:ascii="黑体" w:hAnsi="黑体" w:eastAsia="黑体"/>
          <w:b w:val="0"/>
          <w:color w:val="auto"/>
          <w:highlight w:val="none"/>
        </w:rPr>
        <w:t>一、基</w:t>
      </w:r>
      <w:r>
        <w:rPr>
          <w:rStyle w:val="27"/>
          <w:rFonts w:hint="eastAsia" w:ascii="黑体" w:hAnsi="黑体" w:eastAsia="黑体"/>
          <w:b w:val="0"/>
          <w:bCs w:val="0"/>
          <w:color w:val="auto"/>
          <w:highlight w:val="none"/>
        </w:rPr>
        <w:t>本职能及主要工作</w:t>
      </w:r>
      <w:bookmarkEnd w:id="10"/>
      <w:bookmarkEnd w:id="11"/>
    </w:p>
    <w:p>
      <w:pPr>
        <w:pStyle w:val="6"/>
        <w:pageBreakBefore w:val="0"/>
        <w:kinsoku/>
        <w:wordWrap/>
        <w:overflowPunct/>
        <w:topLinePunct w:val="0"/>
        <w:bidi w:val="0"/>
        <w:adjustRightInd w:val="0"/>
        <w:snapToGrid w:val="0"/>
        <w:spacing w:beforeLines="0" w:line="570" w:lineRule="exact"/>
        <w:ind w:firstLine="672" w:firstLineChars="210"/>
        <w:outlineLvl w:val="2"/>
        <w:rPr>
          <w:rFonts w:hint="eastAsia" w:ascii="仿宋" w:hAnsi="仿宋" w:eastAsia="仿宋"/>
          <w:bCs/>
          <w:color w:val="auto"/>
          <w:sz w:val="32"/>
          <w:szCs w:val="32"/>
          <w:highlight w:val="none"/>
        </w:rPr>
      </w:pPr>
      <w:bookmarkStart w:id="12" w:name="_Toc15377198"/>
      <w:bookmarkStart w:id="13" w:name="_Toc15378445"/>
      <w:r>
        <w:rPr>
          <w:rFonts w:hint="eastAsia" w:ascii="仿宋" w:hAnsi="仿宋" w:eastAsia="仿宋"/>
          <w:bCs/>
          <w:color w:val="auto"/>
          <w:sz w:val="32"/>
          <w:szCs w:val="32"/>
          <w:highlight w:val="none"/>
        </w:rPr>
        <w:t>（一）主要职能。</w:t>
      </w:r>
      <w:bookmarkEnd w:id="12"/>
      <w:bookmarkEnd w:id="13"/>
    </w:p>
    <w:p>
      <w:pPr>
        <w:pStyle w:val="6"/>
        <w:pageBreakBefore w:val="0"/>
        <w:kinsoku/>
        <w:wordWrap/>
        <w:overflowPunct/>
        <w:topLinePunct w:val="0"/>
        <w:bidi w:val="0"/>
        <w:adjustRightInd w:val="0"/>
        <w:snapToGrid w:val="0"/>
        <w:spacing w:beforeLines="0" w:line="570" w:lineRule="exact"/>
        <w:ind w:firstLine="672" w:firstLineChars="210"/>
        <w:outlineLvl w:val="2"/>
        <w:rPr>
          <w:rFonts w:hint="eastAsia"/>
          <w:color w:val="000000"/>
          <w:sz w:val="32"/>
          <w:szCs w:val="32"/>
          <w:lang w:eastAsia="zh-CN"/>
        </w:rPr>
      </w:pPr>
      <w:r>
        <w:rPr>
          <w:rFonts w:eastAsia="仿宋_GB2312"/>
          <w:color w:val="000000"/>
          <w:sz w:val="32"/>
          <w:szCs w:val="32"/>
        </w:rPr>
        <w:t>一是贯彻执行国家住房和城乡建设的法律、法规和方针、政策。组织拟订住房保障、工程建设、城市建设、村镇建设、建筑业、房屋装饰装修业、住宅与房地产业、勘察设计咨询业、供水与排水、燃气有关地方规范性文件；负责本系统、本部门依法行政工作，落实行政执法责任制，承担行业管理职责</w:t>
      </w:r>
      <w:r>
        <w:rPr>
          <w:rFonts w:hint="eastAsia"/>
          <w:color w:val="000000"/>
          <w:sz w:val="32"/>
          <w:szCs w:val="32"/>
          <w:lang w:eastAsia="zh-CN"/>
        </w:rPr>
        <w:t>。</w:t>
      </w:r>
    </w:p>
    <w:p>
      <w:pPr>
        <w:pStyle w:val="6"/>
        <w:pageBreakBefore w:val="0"/>
        <w:kinsoku/>
        <w:wordWrap/>
        <w:overflowPunct/>
        <w:topLinePunct w:val="0"/>
        <w:bidi w:val="0"/>
        <w:adjustRightInd w:val="0"/>
        <w:snapToGrid w:val="0"/>
        <w:spacing w:beforeLines="0" w:line="570" w:lineRule="exact"/>
        <w:ind w:firstLine="672" w:firstLineChars="210"/>
        <w:outlineLvl w:val="2"/>
        <w:rPr>
          <w:rFonts w:hint="eastAsia"/>
          <w:color w:val="000000"/>
          <w:sz w:val="32"/>
          <w:szCs w:val="32"/>
          <w:lang w:eastAsia="zh-CN"/>
        </w:rPr>
      </w:pPr>
      <w:r>
        <w:rPr>
          <w:rFonts w:eastAsia="仿宋_GB2312"/>
          <w:color w:val="000000"/>
          <w:sz w:val="32"/>
          <w:szCs w:val="32"/>
        </w:rPr>
        <w:t>二是承担推进住房制度改革、保障城镇低收入家庭住房的责任。贯彻执行国家和省住房制度改革及住房保障相关政策，拟订全市住房制度改革及住房保障意见并指导监督实施，拟订全市住房保障发展规划和年度计划并监督实施，指导住房建设和住房保障制度改革，拟订保障性安居工程规划及规范性文件，会同相关部门做好国家、省、市有关保障性安居工程资金安排并监督实施</w:t>
      </w:r>
      <w:r>
        <w:rPr>
          <w:rFonts w:hint="eastAsia"/>
          <w:color w:val="000000"/>
          <w:sz w:val="32"/>
          <w:szCs w:val="32"/>
          <w:lang w:eastAsia="zh-CN"/>
        </w:rPr>
        <w:t>。</w:t>
      </w:r>
    </w:p>
    <w:p>
      <w:pPr>
        <w:pStyle w:val="6"/>
        <w:pageBreakBefore w:val="0"/>
        <w:kinsoku/>
        <w:wordWrap/>
        <w:overflowPunct/>
        <w:topLinePunct w:val="0"/>
        <w:bidi w:val="0"/>
        <w:adjustRightInd w:val="0"/>
        <w:snapToGrid w:val="0"/>
        <w:spacing w:beforeLines="0" w:line="570" w:lineRule="exact"/>
        <w:ind w:firstLine="672" w:firstLineChars="210"/>
        <w:outlineLvl w:val="2"/>
        <w:rPr>
          <w:rFonts w:hint="eastAsia"/>
          <w:color w:val="000000"/>
          <w:sz w:val="32"/>
          <w:szCs w:val="32"/>
          <w:lang w:eastAsia="zh-CN"/>
        </w:rPr>
      </w:pPr>
      <w:r>
        <w:rPr>
          <w:rFonts w:eastAsia="仿宋_GB2312"/>
          <w:color w:val="000000"/>
          <w:sz w:val="32"/>
          <w:szCs w:val="32"/>
        </w:rPr>
        <w:t>三是承担建立本市工程建设标准体系的责任。组织实施工程建设实施阶段的国家标准、全国及全省统一定额和行业标准定额。拟定建设项目可行性研究评价方法、经济参数、建设标准，指导监督各类工程建设标准定额的实施和工程造价计价，组织发布工程造价信息；负责对各类工程建设项目招标代理机构的资格管理和房屋建筑及部分市政工程项目招标投标活动的监督管理</w:t>
      </w:r>
      <w:r>
        <w:rPr>
          <w:rFonts w:hint="eastAsia"/>
          <w:color w:val="000000"/>
          <w:sz w:val="32"/>
          <w:szCs w:val="32"/>
          <w:lang w:eastAsia="zh-CN"/>
        </w:rPr>
        <w:t>。</w:t>
      </w:r>
    </w:p>
    <w:p>
      <w:pPr>
        <w:pStyle w:val="6"/>
        <w:pageBreakBefore w:val="0"/>
        <w:kinsoku/>
        <w:wordWrap/>
        <w:overflowPunct/>
        <w:topLinePunct w:val="0"/>
        <w:bidi w:val="0"/>
        <w:adjustRightInd w:val="0"/>
        <w:snapToGrid w:val="0"/>
        <w:spacing w:beforeLines="0" w:line="570" w:lineRule="exact"/>
        <w:ind w:firstLine="672" w:firstLineChars="210"/>
        <w:outlineLvl w:val="2"/>
        <w:rPr>
          <w:rFonts w:hint="eastAsia"/>
          <w:color w:val="000000"/>
          <w:sz w:val="32"/>
          <w:szCs w:val="32"/>
          <w:lang w:eastAsia="zh-CN"/>
        </w:rPr>
      </w:pPr>
      <w:r>
        <w:rPr>
          <w:rFonts w:eastAsia="仿宋_GB2312"/>
          <w:color w:val="000000"/>
          <w:sz w:val="32"/>
          <w:szCs w:val="32"/>
        </w:rPr>
        <w:t>四是承担规范房地产市场秩序、监督管理房地产市场的责任。负责全市房地产业的行业管理，房屋装饰装修市场管理和房屋测绘行业管理。会同有关部门组织拟订房地产市场监督管理政策并监督执行，提出房地产业行业发展规划和产业政策，参与城镇土地使用权有偿转让和开发利用工作，制定房地产开发、房地产交易、房屋权属管理、房屋租赁、房屋面积管理、房屋安全鉴定、白蚁防治、房地产估价与经纪管理、物业管理、房屋征收的规章制度并监督执行。负责住房维修金归集、监督的责任，负责全市房地产企业、房屋测绘企业、拆迁企业、物业服务企业、评估、经纪、中介组织的资质管理和房地产市场准入和清出工作</w:t>
      </w:r>
      <w:r>
        <w:rPr>
          <w:rFonts w:hint="eastAsia"/>
          <w:color w:val="000000"/>
          <w:sz w:val="32"/>
          <w:szCs w:val="32"/>
          <w:lang w:eastAsia="zh-CN"/>
        </w:rPr>
        <w:t>。</w:t>
      </w:r>
    </w:p>
    <w:p>
      <w:pPr>
        <w:pStyle w:val="6"/>
        <w:pageBreakBefore w:val="0"/>
        <w:kinsoku/>
        <w:wordWrap/>
        <w:overflowPunct/>
        <w:topLinePunct w:val="0"/>
        <w:bidi w:val="0"/>
        <w:adjustRightInd w:val="0"/>
        <w:snapToGrid w:val="0"/>
        <w:spacing w:beforeLines="0" w:line="570" w:lineRule="exact"/>
        <w:ind w:firstLine="672" w:firstLineChars="210"/>
        <w:outlineLvl w:val="2"/>
        <w:rPr>
          <w:rFonts w:hint="eastAsia"/>
          <w:color w:val="000000"/>
          <w:sz w:val="32"/>
          <w:szCs w:val="32"/>
          <w:lang w:eastAsia="zh-CN"/>
        </w:rPr>
      </w:pPr>
      <w:r>
        <w:rPr>
          <w:rFonts w:eastAsia="仿宋_GB2312"/>
          <w:color w:val="000000"/>
          <w:sz w:val="32"/>
          <w:szCs w:val="32"/>
        </w:rPr>
        <w:t>五是承担规范建筑市场秩序、监督管理建筑市场的责任</w:t>
      </w:r>
      <w:r>
        <w:rPr>
          <w:rFonts w:hint="eastAsia"/>
          <w:color w:val="000000"/>
          <w:sz w:val="32"/>
          <w:szCs w:val="32"/>
          <w:lang w:eastAsia="zh-CN"/>
        </w:rPr>
        <w:t>。</w:t>
      </w:r>
      <w:r>
        <w:rPr>
          <w:rFonts w:eastAsia="仿宋_GB2312"/>
          <w:color w:val="000000"/>
          <w:sz w:val="32"/>
          <w:szCs w:val="32"/>
        </w:rPr>
        <w:t>综合管理和指导全市建筑活动，拟订工程建设、建筑业及装饰装修业发展战略、中长期规划、改革方案、产业政策、行业管理规范性文件并监督执行；指导和监督工程建设项目的招标投标活动的监督执法；拟定建设工程施工，监理以及规范建筑市场各方主体行为的规章制度并监督执行；负责建设工程质量和安全的监督管理工作，拟订建设工程质量、建筑安全生产和竣工验收备案的政策、规章制度并监督执行，组织或参与工程重大质量、安全事故的调查处理；负责全市建设类企业的资质管理工作和建筑市场准入与清出的管理工作，负责对建筑材料、制品的管理</w:t>
      </w:r>
      <w:r>
        <w:rPr>
          <w:rFonts w:hint="eastAsia"/>
          <w:color w:val="000000"/>
          <w:sz w:val="32"/>
          <w:szCs w:val="32"/>
          <w:lang w:eastAsia="zh-CN"/>
        </w:rPr>
        <w:t>。</w:t>
      </w:r>
    </w:p>
    <w:p>
      <w:pPr>
        <w:pStyle w:val="6"/>
        <w:pageBreakBefore w:val="0"/>
        <w:kinsoku/>
        <w:wordWrap/>
        <w:overflowPunct/>
        <w:topLinePunct w:val="0"/>
        <w:bidi w:val="0"/>
        <w:adjustRightInd w:val="0"/>
        <w:snapToGrid w:val="0"/>
        <w:spacing w:beforeLines="0" w:line="570" w:lineRule="exact"/>
        <w:ind w:firstLine="672" w:firstLineChars="210"/>
        <w:outlineLvl w:val="2"/>
        <w:rPr>
          <w:rFonts w:hint="eastAsia"/>
          <w:color w:val="000000"/>
          <w:sz w:val="32"/>
          <w:szCs w:val="32"/>
          <w:lang w:eastAsia="zh-CN"/>
        </w:rPr>
      </w:pPr>
      <w:r>
        <w:rPr>
          <w:rFonts w:eastAsia="仿宋_GB2312"/>
          <w:color w:val="000000"/>
          <w:sz w:val="32"/>
          <w:szCs w:val="32"/>
        </w:rPr>
        <w:t>六是承担监督管理勘察设计咨询市场秩序和勘察设计咨询质量的责任</w:t>
      </w:r>
      <w:r>
        <w:rPr>
          <w:rFonts w:hint="eastAsia"/>
          <w:color w:val="000000"/>
          <w:sz w:val="32"/>
          <w:szCs w:val="32"/>
          <w:lang w:eastAsia="zh-CN"/>
        </w:rPr>
        <w:t>。</w:t>
      </w:r>
      <w:r>
        <w:rPr>
          <w:rFonts w:eastAsia="仿宋_GB2312"/>
          <w:color w:val="000000"/>
          <w:sz w:val="32"/>
          <w:szCs w:val="32"/>
        </w:rPr>
        <w:t>拟订工程勘察设计咨询业的发展战略、中长期规划、改革方案、产业和技术政策、规章制度并指导实施；指导建设工程抗震设防工作；组织编制并实施房屋建筑和市政设施抗震技术地方规范和标准图集，组织开展城镇建筑物抗震性能普查、鉴定加固和改造工作，指导村镇抗震设防工作和组织灾后恢复重建工作；负责房屋建筑工程及市政基础设施工程初步设计审查和施工图设计审查备案；负责勘察设计单位的资质管理和设计人员的资格管理工作；指导全市城市地下空间的开发建设利用</w:t>
      </w:r>
      <w:r>
        <w:rPr>
          <w:rFonts w:hint="eastAsia"/>
          <w:color w:val="000000"/>
          <w:sz w:val="32"/>
          <w:szCs w:val="32"/>
          <w:lang w:eastAsia="zh-CN"/>
        </w:rPr>
        <w:t>。</w:t>
      </w:r>
    </w:p>
    <w:p>
      <w:pPr>
        <w:pStyle w:val="6"/>
        <w:pageBreakBefore w:val="0"/>
        <w:kinsoku/>
        <w:wordWrap/>
        <w:overflowPunct/>
        <w:topLinePunct w:val="0"/>
        <w:bidi w:val="0"/>
        <w:adjustRightInd w:val="0"/>
        <w:snapToGrid w:val="0"/>
        <w:spacing w:beforeLines="0" w:line="570" w:lineRule="exact"/>
        <w:ind w:firstLine="672" w:firstLineChars="210"/>
        <w:outlineLvl w:val="2"/>
        <w:rPr>
          <w:rFonts w:hint="eastAsia"/>
          <w:color w:val="000000"/>
          <w:sz w:val="32"/>
          <w:szCs w:val="32"/>
          <w:lang w:eastAsia="zh-CN"/>
        </w:rPr>
      </w:pPr>
      <w:r>
        <w:rPr>
          <w:rFonts w:eastAsia="仿宋_GB2312"/>
          <w:color w:val="000000"/>
          <w:sz w:val="32"/>
          <w:szCs w:val="32"/>
        </w:rPr>
        <w:t>七是承担指导城镇建设管理的责任</w:t>
      </w:r>
      <w:r>
        <w:rPr>
          <w:rFonts w:hint="eastAsia"/>
          <w:color w:val="000000"/>
          <w:sz w:val="32"/>
          <w:szCs w:val="32"/>
          <w:lang w:eastAsia="zh-CN"/>
        </w:rPr>
        <w:t>。</w:t>
      </w:r>
      <w:r>
        <w:rPr>
          <w:rFonts w:eastAsia="仿宋_GB2312"/>
          <w:color w:val="000000"/>
          <w:sz w:val="32"/>
          <w:szCs w:val="32"/>
        </w:rPr>
        <w:t>拟订城镇建设的规范性文件并指导实施，指导城市供水与排水、燃气等市政公用设施的建设管理工作；负责全市供水与排水、燃气等企业的资质管理工作；负责指导城市地下管网建设管理工作；指导城市计划用水、节约用水和城市规划区内地下水的开发利用和保护，指导城镇建设档案管理工作</w:t>
      </w:r>
      <w:r>
        <w:rPr>
          <w:rFonts w:hint="eastAsia"/>
          <w:color w:val="000000"/>
          <w:sz w:val="32"/>
          <w:szCs w:val="32"/>
          <w:lang w:eastAsia="zh-CN"/>
        </w:rPr>
        <w:t>。</w:t>
      </w:r>
    </w:p>
    <w:p>
      <w:pPr>
        <w:pStyle w:val="6"/>
        <w:pageBreakBefore w:val="0"/>
        <w:kinsoku/>
        <w:wordWrap/>
        <w:overflowPunct/>
        <w:topLinePunct w:val="0"/>
        <w:bidi w:val="0"/>
        <w:adjustRightInd w:val="0"/>
        <w:snapToGrid w:val="0"/>
        <w:spacing w:beforeLines="0" w:line="570" w:lineRule="exact"/>
        <w:ind w:firstLine="672" w:firstLineChars="210"/>
        <w:outlineLvl w:val="2"/>
        <w:rPr>
          <w:rFonts w:hint="eastAsia"/>
          <w:color w:val="000000"/>
          <w:sz w:val="32"/>
          <w:szCs w:val="32"/>
          <w:lang w:eastAsia="zh-CN"/>
        </w:rPr>
      </w:pPr>
      <w:r>
        <w:rPr>
          <w:rFonts w:eastAsia="仿宋_GB2312"/>
          <w:color w:val="000000"/>
          <w:sz w:val="32"/>
          <w:szCs w:val="32"/>
        </w:rPr>
        <w:t>八是拟定全市风景名胜区管理政策并指导实施</w:t>
      </w:r>
      <w:r>
        <w:rPr>
          <w:rFonts w:hint="eastAsia"/>
          <w:color w:val="000000"/>
          <w:sz w:val="32"/>
          <w:szCs w:val="32"/>
          <w:lang w:eastAsia="zh-CN"/>
        </w:rPr>
        <w:t>。</w:t>
      </w:r>
      <w:r>
        <w:rPr>
          <w:rFonts w:eastAsia="仿宋_GB2312"/>
          <w:color w:val="000000"/>
          <w:sz w:val="32"/>
          <w:szCs w:val="32"/>
        </w:rPr>
        <w:t>负责风景区的保护、建设和管理，指导城市规划区和风景名胜区内生物多样性保护工作。负责全市世界自然遗产申报，会同有关部门负责全市世界自然与文化遗产申报以及历史文化名城（镇、村）的保护、监督与管理工作</w:t>
      </w:r>
      <w:r>
        <w:rPr>
          <w:rFonts w:hint="eastAsia"/>
          <w:color w:val="000000"/>
          <w:sz w:val="32"/>
          <w:szCs w:val="32"/>
          <w:lang w:eastAsia="zh-CN"/>
        </w:rPr>
        <w:t>。</w:t>
      </w:r>
    </w:p>
    <w:p>
      <w:pPr>
        <w:pStyle w:val="6"/>
        <w:pageBreakBefore w:val="0"/>
        <w:kinsoku/>
        <w:wordWrap/>
        <w:overflowPunct/>
        <w:topLinePunct w:val="0"/>
        <w:bidi w:val="0"/>
        <w:adjustRightInd w:val="0"/>
        <w:snapToGrid w:val="0"/>
        <w:spacing w:beforeLines="0" w:line="570" w:lineRule="exact"/>
        <w:ind w:firstLine="672" w:firstLineChars="210"/>
        <w:outlineLvl w:val="2"/>
        <w:rPr>
          <w:rFonts w:hint="eastAsia"/>
          <w:color w:val="000000"/>
          <w:sz w:val="32"/>
          <w:szCs w:val="32"/>
          <w:lang w:eastAsia="zh-CN"/>
        </w:rPr>
      </w:pPr>
      <w:r>
        <w:rPr>
          <w:rFonts w:eastAsia="仿宋_GB2312"/>
          <w:color w:val="000000"/>
          <w:sz w:val="32"/>
          <w:szCs w:val="32"/>
        </w:rPr>
        <w:t>九是承担指导村镇建设的责任</w:t>
      </w:r>
      <w:r>
        <w:rPr>
          <w:rFonts w:hint="eastAsia"/>
          <w:color w:val="000000"/>
          <w:sz w:val="32"/>
          <w:szCs w:val="32"/>
          <w:lang w:eastAsia="zh-CN"/>
        </w:rPr>
        <w:t>。</w:t>
      </w:r>
      <w:r>
        <w:rPr>
          <w:rFonts w:eastAsia="仿宋_GB2312"/>
          <w:color w:val="000000"/>
          <w:sz w:val="32"/>
          <w:szCs w:val="32"/>
        </w:rPr>
        <w:t>拟订村庄和小城镇建设规范性文件并指导实施，指导农村住房建设管理和危房改造，指导小城镇和村庄人居环境的改善工作，指导和组织各类村镇建设试点工作，指导受灾村镇及国家大型重点建设项目地区村镇迁建、重建的建设和管理工作</w:t>
      </w:r>
      <w:r>
        <w:rPr>
          <w:rFonts w:hint="eastAsia"/>
          <w:color w:val="000000"/>
          <w:sz w:val="32"/>
          <w:szCs w:val="32"/>
          <w:lang w:eastAsia="zh-CN"/>
        </w:rPr>
        <w:t>。</w:t>
      </w:r>
    </w:p>
    <w:p>
      <w:pPr>
        <w:pStyle w:val="6"/>
        <w:pageBreakBefore w:val="0"/>
        <w:kinsoku/>
        <w:wordWrap/>
        <w:overflowPunct/>
        <w:topLinePunct w:val="0"/>
        <w:bidi w:val="0"/>
        <w:adjustRightInd w:val="0"/>
        <w:snapToGrid w:val="0"/>
        <w:spacing w:beforeLines="0" w:line="570" w:lineRule="exact"/>
        <w:ind w:firstLine="672" w:firstLineChars="210"/>
        <w:outlineLvl w:val="2"/>
        <w:rPr>
          <w:rFonts w:hint="eastAsia"/>
          <w:color w:val="000000"/>
          <w:sz w:val="32"/>
          <w:szCs w:val="32"/>
          <w:lang w:eastAsia="zh-CN"/>
        </w:rPr>
      </w:pPr>
      <w:r>
        <w:rPr>
          <w:rFonts w:eastAsia="仿宋_GB2312"/>
          <w:color w:val="000000"/>
          <w:sz w:val="32"/>
          <w:szCs w:val="32"/>
        </w:rPr>
        <w:t>十是负责推进建筑节能减排的工作</w:t>
      </w:r>
      <w:r>
        <w:rPr>
          <w:rFonts w:hint="eastAsia"/>
          <w:color w:val="000000"/>
          <w:sz w:val="32"/>
          <w:szCs w:val="32"/>
          <w:lang w:eastAsia="zh-CN"/>
        </w:rPr>
        <w:t>。</w:t>
      </w:r>
      <w:r>
        <w:rPr>
          <w:rFonts w:eastAsia="仿宋_GB2312"/>
          <w:color w:val="000000"/>
          <w:sz w:val="32"/>
          <w:szCs w:val="32"/>
        </w:rPr>
        <w:t>会同有关部门拟定建筑节能措施并监督实施。组织实施重大建筑节能项目，推进建筑节能减排；组织重大科研项目的研究开发和成果转化推广，推进墙体材料革新、节能建筑和绿色建筑的责任；负责全市散装水泥的行政管理工作</w:t>
      </w:r>
      <w:r>
        <w:rPr>
          <w:rFonts w:hint="eastAsia"/>
          <w:color w:val="000000"/>
          <w:sz w:val="32"/>
          <w:szCs w:val="32"/>
          <w:lang w:eastAsia="zh-CN"/>
        </w:rPr>
        <w:t>。</w:t>
      </w:r>
    </w:p>
    <w:p>
      <w:pPr>
        <w:pStyle w:val="6"/>
        <w:pageBreakBefore w:val="0"/>
        <w:kinsoku/>
        <w:wordWrap/>
        <w:overflowPunct/>
        <w:topLinePunct w:val="0"/>
        <w:bidi w:val="0"/>
        <w:adjustRightInd w:val="0"/>
        <w:snapToGrid w:val="0"/>
        <w:spacing w:beforeLines="0" w:line="570" w:lineRule="exact"/>
        <w:ind w:firstLine="672" w:firstLineChars="210"/>
        <w:outlineLvl w:val="2"/>
        <w:rPr>
          <w:rFonts w:hint="eastAsia"/>
          <w:color w:val="000000"/>
          <w:sz w:val="32"/>
          <w:szCs w:val="32"/>
          <w:lang w:eastAsia="zh-CN"/>
        </w:rPr>
      </w:pPr>
      <w:r>
        <w:rPr>
          <w:rFonts w:eastAsia="仿宋_GB2312"/>
          <w:color w:val="000000"/>
          <w:sz w:val="32"/>
          <w:szCs w:val="32"/>
        </w:rPr>
        <w:t>十一是负责建设行业对外经济技术合作</w:t>
      </w:r>
      <w:r>
        <w:rPr>
          <w:rFonts w:hint="eastAsia"/>
          <w:color w:val="000000"/>
          <w:sz w:val="32"/>
          <w:szCs w:val="32"/>
          <w:lang w:eastAsia="zh-CN"/>
        </w:rPr>
        <w:t>。</w:t>
      </w:r>
      <w:r>
        <w:rPr>
          <w:rFonts w:eastAsia="仿宋_GB2312"/>
          <w:color w:val="000000"/>
          <w:sz w:val="32"/>
          <w:szCs w:val="32"/>
        </w:rPr>
        <w:t>指导企事业单位开拓国内外建筑市场和房地产市场，组织协调建设企业参与对外工程承包、建筑劳务合作；指导全市建筑劳务输出工作</w:t>
      </w:r>
      <w:r>
        <w:rPr>
          <w:rFonts w:hint="eastAsia"/>
          <w:color w:val="000000"/>
          <w:sz w:val="32"/>
          <w:szCs w:val="32"/>
          <w:lang w:eastAsia="zh-CN"/>
        </w:rPr>
        <w:t>。</w:t>
      </w:r>
    </w:p>
    <w:p>
      <w:pPr>
        <w:pStyle w:val="6"/>
        <w:pageBreakBefore w:val="0"/>
        <w:kinsoku/>
        <w:wordWrap/>
        <w:overflowPunct/>
        <w:topLinePunct w:val="0"/>
        <w:bidi w:val="0"/>
        <w:adjustRightInd w:val="0"/>
        <w:snapToGrid w:val="0"/>
        <w:spacing w:beforeLines="0" w:line="570" w:lineRule="exact"/>
        <w:ind w:firstLine="672" w:firstLineChars="210"/>
        <w:outlineLvl w:val="2"/>
        <w:rPr>
          <w:rFonts w:hint="eastAsia"/>
          <w:color w:val="000000"/>
          <w:sz w:val="32"/>
          <w:szCs w:val="32"/>
          <w:lang w:eastAsia="zh-CN"/>
        </w:rPr>
      </w:pPr>
      <w:r>
        <w:rPr>
          <w:rFonts w:eastAsia="仿宋_GB2312"/>
          <w:color w:val="000000"/>
          <w:sz w:val="32"/>
          <w:szCs w:val="32"/>
        </w:rPr>
        <w:t>十二是指导监督全市政府非经营性投资项目“代建制”的推行。负责市政府非经营性投资项目代建领导小组办公室的具体工作</w:t>
      </w:r>
      <w:r>
        <w:rPr>
          <w:rFonts w:hint="eastAsia"/>
          <w:color w:val="000000"/>
          <w:sz w:val="32"/>
          <w:szCs w:val="32"/>
          <w:lang w:eastAsia="zh-CN"/>
        </w:rPr>
        <w:t>。</w:t>
      </w:r>
    </w:p>
    <w:p>
      <w:pPr>
        <w:pStyle w:val="6"/>
        <w:pageBreakBefore w:val="0"/>
        <w:kinsoku/>
        <w:wordWrap/>
        <w:overflowPunct/>
        <w:topLinePunct w:val="0"/>
        <w:bidi w:val="0"/>
        <w:adjustRightInd w:val="0"/>
        <w:snapToGrid w:val="0"/>
        <w:spacing w:beforeLines="0" w:line="570" w:lineRule="exact"/>
        <w:ind w:firstLine="672" w:firstLineChars="210"/>
        <w:outlineLvl w:val="2"/>
        <w:rPr>
          <w:rFonts w:hint="eastAsia"/>
          <w:color w:val="000000"/>
          <w:sz w:val="32"/>
          <w:szCs w:val="32"/>
          <w:lang w:eastAsia="zh-CN"/>
        </w:rPr>
      </w:pPr>
      <w:r>
        <w:rPr>
          <w:rFonts w:eastAsia="仿宋_GB2312"/>
          <w:color w:val="000000"/>
          <w:sz w:val="32"/>
          <w:szCs w:val="32"/>
        </w:rPr>
        <w:t>十三是制订建设行业人才培养和教育发展规划并组织实施</w:t>
      </w:r>
      <w:r>
        <w:rPr>
          <w:rFonts w:hint="eastAsia"/>
          <w:color w:val="000000"/>
          <w:sz w:val="32"/>
          <w:szCs w:val="32"/>
          <w:lang w:eastAsia="zh-CN"/>
        </w:rPr>
        <w:t>。</w:t>
      </w:r>
      <w:r>
        <w:rPr>
          <w:rFonts w:eastAsia="仿宋_GB2312"/>
          <w:color w:val="000000"/>
          <w:sz w:val="32"/>
          <w:szCs w:val="32"/>
        </w:rPr>
        <w:t>指导建设行业科技人才队伍建设、专业技术职务评审和职业资格管理工作；指导监督建设系统行业协会工作；指导建设系统信访工作，督查督办信访案件。开展住房和城乡建设方面的国内外交流与合作</w:t>
      </w:r>
      <w:r>
        <w:rPr>
          <w:rFonts w:hint="eastAsia"/>
          <w:color w:val="000000"/>
          <w:sz w:val="32"/>
          <w:szCs w:val="32"/>
          <w:lang w:eastAsia="zh-CN"/>
        </w:rPr>
        <w:t>。</w:t>
      </w:r>
    </w:p>
    <w:p>
      <w:pPr>
        <w:pStyle w:val="6"/>
        <w:pageBreakBefore w:val="0"/>
        <w:kinsoku/>
        <w:wordWrap/>
        <w:overflowPunct/>
        <w:topLinePunct w:val="0"/>
        <w:bidi w:val="0"/>
        <w:adjustRightInd w:val="0"/>
        <w:snapToGrid w:val="0"/>
        <w:spacing w:beforeLines="0" w:line="570" w:lineRule="exact"/>
        <w:ind w:firstLine="672" w:firstLineChars="210"/>
        <w:outlineLvl w:val="2"/>
        <w:rPr>
          <w:rFonts w:hint="eastAsia"/>
          <w:color w:val="000000"/>
          <w:sz w:val="32"/>
          <w:szCs w:val="32"/>
          <w:lang w:eastAsia="zh-CN"/>
        </w:rPr>
      </w:pPr>
      <w:r>
        <w:rPr>
          <w:rFonts w:eastAsia="仿宋_GB2312"/>
          <w:color w:val="000000"/>
          <w:sz w:val="32"/>
          <w:szCs w:val="32"/>
        </w:rPr>
        <w:t>十四是负责局机关和局属单位的机构编制和人事管理、劳动工资</w:t>
      </w:r>
      <w:r>
        <w:rPr>
          <w:rFonts w:hint="eastAsia"/>
          <w:color w:val="000000"/>
          <w:sz w:val="32"/>
          <w:szCs w:val="32"/>
          <w:lang w:eastAsia="zh-CN"/>
        </w:rPr>
        <w:t>、</w:t>
      </w:r>
      <w:r>
        <w:rPr>
          <w:rFonts w:eastAsia="仿宋_GB2312"/>
          <w:color w:val="000000"/>
          <w:sz w:val="32"/>
          <w:szCs w:val="32"/>
        </w:rPr>
        <w:t>财务、审计和国有资产管理工作</w:t>
      </w:r>
      <w:r>
        <w:rPr>
          <w:rFonts w:hint="eastAsia"/>
          <w:color w:val="000000"/>
          <w:sz w:val="32"/>
          <w:szCs w:val="32"/>
          <w:lang w:eastAsia="zh-CN"/>
        </w:rPr>
        <w:t>。</w:t>
      </w:r>
      <w:r>
        <w:rPr>
          <w:rFonts w:eastAsia="仿宋_GB2312"/>
          <w:color w:val="000000"/>
          <w:sz w:val="32"/>
          <w:szCs w:val="32"/>
        </w:rPr>
        <w:t>负责局机关和局属单位的党组织、群团组织和纪检监察工作；督查督办上级组织交办事项的贯彻落实；负责城市建设项目的行政审批和行政许可管理工作；负责市政府指定区域建设行政执法工作</w:t>
      </w:r>
      <w:r>
        <w:rPr>
          <w:rFonts w:hint="eastAsia"/>
          <w:color w:val="000000"/>
          <w:sz w:val="32"/>
          <w:szCs w:val="32"/>
          <w:lang w:eastAsia="zh-CN"/>
        </w:rPr>
        <w:t>。</w:t>
      </w:r>
    </w:p>
    <w:p>
      <w:pPr>
        <w:pStyle w:val="6"/>
        <w:pageBreakBefore w:val="0"/>
        <w:kinsoku/>
        <w:wordWrap/>
        <w:overflowPunct/>
        <w:topLinePunct w:val="0"/>
        <w:bidi w:val="0"/>
        <w:adjustRightInd w:val="0"/>
        <w:snapToGrid w:val="0"/>
        <w:spacing w:beforeLines="0" w:line="570" w:lineRule="exact"/>
        <w:ind w:firstLine="672" w:firstLineChars="210"/>
        <w:outlineLvl w:val="2"/>
        <w:rPr>
          <w:rFonts w:hint="eastAsia"/>
          <w:color w:val="000000"/>
          <w:sz w:val="32"/>
          <w:szCs w:val="32"/>
          <w:lang w:eastAsia="zh-CN"/>
        </w:rPr>
      </w:pPr>
      <w:r>
        <w:rPr>
          <w:rFonts w:eastAsia="仿宋_GB2312"/>
          <w:color w:val="000000"/>
          <w:sz w:val="32"/>
          <w:szCs w:val="32"/>
        </w:rPr>
        <w:t>十五是承担市政府公布的有关行政审批事项</w:t>
      </w:r>
      <w:r>
        <w:rPr>
          <w:rFonts w:hint="eastAsia"/>
          <w:color w:val="000000"/>
          <w:sz w:val="32"/>
          <w:szCs w:val="32"/>
          <w:lang w:eastAsia="zh-CN"/>
        </w:rPr>
        <w:t>。</w:t>
      </w:r>
    </w:p>
    <w:p>
      <w:pPr>
        <w:pStyle w:val="6"/>
        <w:pageBreakBefore w:val="0"/>
        <w:kinsoku/>
        <w:wordWrap/>
        <w:overflowPunct/>
        <w:topLinePunct w:val="0"/>
        <w:bidi w:val="0"/>
        <w:adjustRightInd w:val="0"/>
        <w:snapToGrid w:val="0"/>
        <w:spacing w:beforeLines="0" w:line="570" w:lineRule="exact"/>
        <w:ind w:firstLine="672" w:firstLineChars="210"/>
        <w:outlineLvl w:val="2"/>
        <w:rPr>
          <w:rFonts w:hint="eastAsia" w:ascii="仿宋" w:hAnsi="仿宋" w:eastAsia="仿宋"/>
          <w:bCs/>
          <w:color w:val="auto"/>
          <w:sz w:val="32"/>
          <w:szCs w:val="32"/>
          <w:highlight w:val="none"/>
        </w:rPr>
      </w:pPr>
      <w:r>
        <w:rPr>
          <w:rFonts w:eastAsia="仿宋_GB2312"/>
          <w:color w:val="000000"/>
          <w:sz w:val="32"/>
          <w:szCs w:val="32"/>
        </w:rPr>
        <w:t>十六是承办市政府交办的其他事项。</w:t>
      </w:r>
    </w:p>
    <w:p>
      <w:pPr>
        <w:pageBreakBefore w:val="0"/>
        <w:kinsoku/>
        <w:wordWrap/>
        <w:overflowPunct/>
        <w:topLinePunct w:val="0"/>
        <w:bidi w:val="0"/>
        <w:spacing w:line="570" w:lineRule="exact"/>
        <w:ind w:firstLine="640"/>
        <w:rPr>
          <w:rFonts w:hint="eastAsia" w:ascii="仿宋" w:hAnsi="仿宋" w:eastAsia="仿宋"/>
          <w:bCs/>
          <w:color w:val="auto"/>
          <w:sz w:val="32"/>
          <w:szCs w:val="32"/>
          <w:highlight w:val="none"/>
        </w:rPr>
      </w:pPr>
      <w:bookmarkStart w:id="14" w:name="_Toc15378446"/>
      <w:bookmarkStart w:id="15" w:name="_Toc15377199"/>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201</w:t>
      </w:r>
      <w:r>
        <w:rPr>
          <w:rFonts w:hint="eastAsia" w:ascii="仿宋" w:hAnsi="仿宋" w:eastAsia="仿宋"/>
          <w:bCs/>
          <w:color w:val="auto"/>
          <w:sz w:val="32"/>
          <w:szCs w:val="32"/>
          <w:highlight w:val="none"/>
        </w:rPr>
        <w:t>8年重点工作完成情况</w:t>
      </w:r>
      <w:bookmarkEnd w:id="14"/>
      <w:bookmarkEnd w:id="15"/>
    </w:p>
    <w:p>
      <w:pPr>
        <w:pageBreakBefore w:val="0"/>
        <w:kinsoku/>
        <w:wordWrap/>
        <w:overflowPunct/>
        <w:topLinePunct w:val="0"/>
        <w:bidi w:val="0"/>
        <w:spacing w:line="570" w:lineRule="exact"/>
        <w:ind w:firstLine="640"/>
        <w:rPr>
          <w:rFonts w:ascii="Times New Roman" w:hAnsi="Times New Roman" w:eastAsia="仿宋"/>
          <w:sz w:val="32"/>
          <w:szCs w:val="32"/>
        </w:rPr>
      </w:pPr>
      <w:r>
        <w:rPr>
          <w:rFonts w:ascii="Times New Roman" w:hAnsi="Times New Roman" w:eastAsia="仿宋"/>
          <w:sz w:val="32"/>
          <w:szCs w:val="32"/>
        </w:rPr>
        <w:t>2018年，在市委、市政府的坚强领导和省住建厅的关心支持下，我局认真贯彻落实市委四届六次全会精神，按照 “12335”总体要求，坚持“以城为重、城乡统筹、项目支撑、行业管控”的“16字”工作思路，突出“117”的工作路径，着力建设五型机关，促进五方联动，广泛凝聚全市住建系统和社会各方面力量，务实推进，住房城乡建设工作取得新成效。</w:t>
      </w:r>
    </w:p>
    <w:p>
      <w:pPr>
        <w:pageBreakBefore w:val="0"/>
        <w:kinsoku/>
        <w:wordWrap/>
        <w:overflowPunct/>
        <w:topLinePunct w:val="0"/>
        <w:bidi w:val="0"/>
        <w:spacing w:line="570" w:lineRule="exact"/>
        <w:ind w:firstLine="640"/>
        <w:rPr>
          <w:rFonts w:ascii="Times New Roman" w:hAnsi="Times New Roman" w:eastAsia="仿宋"/>
          <w:sz w:val="32"/>
          <w:szCs w:val="32"/>
        </w:rPr>
      </w:pPr>
      <w:r>
        <w:rPr>
          <w:rFonts w:hint="eastAsia" w:eastAsia="楷体"/>
          <w:sz w:val="32"/>
          <w:szCs w:val="32"/>
          <w:lang w:eastAsia="zh-CN"/>
        </w:rPr>
        <w:t>一是</w:t>
      </w:r>
      <w:r>
        <w:rPr>
          <w:rFonts w:ascii="Times New Roman" w:hAnsi="Times New Roman" w:eastAsia="楷体"/>
          <w:sz w:val="32"/>
          <w:szCs w:val="32"/>
        </w:rPr>
        <w:t>新型城镇化建设全面发力。</w:t>
      </w:r>
      <w:r>
        <w:rPr>
          <w:rFonts w:ascii="Times New Roman" w:hAnsi="Times New Roman" w:eastAsia="仿宋"/>
          <w:sz w:val="32"/>
          <w:szCs w:val="32"/>
        </w:rPr>
        <w:t>全市户籍人口城镇化率达到32.</w:t>
      </w:r>
      <w:r>
        <w:rPr>
          <w:rFonts w:hint="eastAsia" w:ascii="Times New Roman" w:hAnsi="Times New Roman" w:eastAsia="仿宋"/>
          <w:sz w:val="32"/>
          <w:szCs w:val="32"/>
        </w:rPr>
        <w:t>75</w:t>
      </w:r>
      <w:r>
        <w:rPr>
          <w:rFonts w:ascii="Times New Roman" w:hAnsi="Times New Roman" w:eastAsia="仿宋"/>
          <w:sz w:val="32"/>
          <w:szCs w:val="32"/>
        </w:rPr>
        <w:t>%，同比增长0.9%。完成项目投资25亿元，持续抓好“五桥六路七大新区”建设，重点推动莲花湖湿地生态公园、城镇污水处理设施等13个重大项目建设。中心城区建成区面积达到100平方公里，常住人口突破100万人，“双百”城市全面建成。5个县城建成区面积新增5平方公里，达到100平方公里，人口突破100万，渠县综合管廊建成5.2千米，大竹县建成海绵城市0.8平方公里。全年争取小城镇建设资金3200万元，完成“百镇建设”投资23.8亿元，占目标任务100%，就地就近吸纳农业人口2.03万人，占目标任务100%。达川区百节镇、宣汉县胡家镇成功创建省级特色镇，新增省级试点镇培育对象17个，城乡统筹力度明显加大。</w:t>
      </w:r>
    </w:p>
    <w:p>
      <w:pPr>
        <w:pageBreakBefore w:val="0"/>
        <w:kinsoku/>
        <w:wordWrap/>
        <w:overflowPunct/>
        <w:topLinePunct w:val="0"/>
        <w:bidi w:val="0"/>
        <w:spacing w:line="570" w:lineRule="exact"/>
        <w:ind w:firstLine="640" w:firstLineChars="200"/>
        <w:rPr>
          <w:rFonts w:ascii="Times New Roman" w:hAnsi="Times New Roman" w:eastAsia="仿宋"/>
          <w:sz w:val="32"/>
          <w:szCs w:val="32"/>
        </w:rPr>
      </w:pPr>
      <w:r>
        <w:rPr>
          <w:rFonts w:hint="eastAsia" w:eastAsia="楷体"/>
          <w:sz w:val="32"/>
          <w:szCs w:val="32"/>
          <w:lang w:eastAsia="zh-CN"/>
        </w:rPr>
        <w:t>二是</w:t>
      </w:r>
      <w:r>
        <w:rPr>
          <w:rFonts w:ascii="Times New Roman" w:hAnsi="Times New Roman" w:eastAsia="楷体"/>
          <w:sz w:val="32"/>
          <w:szCs w:val="32"/>
        </w:rPr>
        <w:t>建筑房产两大产业贡献突出。</w:t>
      </w:r>
      <w:r>
        <w:rPr>
          <w:rFonts w:ascii="Times New Roman" w:hAnsi="Times New Roman" w:eastAsia="仿宋"/>
          <w:sz w:val="32"/>
          <w:szCs w:val="32"/>
        </w:rPr>
        <w:t>两大产业对全市GDP增长贡献率达25.2%，拉动GDP增长1.5个百分点，对工业和服务业贡献分别达9.28%和27.6%，上缴税收突破40亿元，占全市税收总量的三成以上。</w:t>
      </w:r>
      <w:r>
        <w:rPr>
          <w:rFonts w:hint="eastAsia" w:eastAsia="仿宋"/>
          <w:sz w:val="32"/>
          <w:szCs w:val="32"/>
          <w:lang w:eastAsia="zh-CN"/>
        </w:rPr>
        <w:t>全年</w:t>
      </w:r>
      <w:r>
        <w:rPr>
          <w:rFonts w:ascii="Times New Roman" w:hAnsi="Times New Roman" w:eastAsia="仿宋"/>
          <w:sz w:val="32"/>
          <w:szCs w:val="32"/>
        </w:rPr>
        <w:t>完成建筑业总产值513亿元，同比增长28%，占全年目标100%，总产值位居全省7位；完成增加值165亿元，同比增长15%。新增建筑企业30家，达到416家。全面推进达州建筑产业园 “起步区”建设，积极引进企业落户园区。完成勘察设计产值4250万，开工建设达州市委党校项目等二星绿色建筑3个，绿色建筑开工面积503万平方米。完成房地产开发投资135亿元，同比增长18.79%，占年度目标的108%；商品房销售面积500万m²，同比增长23.05%，占全年目标100%。向上争取既有住宅电梯增设奖补资金2967万元，增设电梯147个点178台，办理62台电梯补贴工作，补贴资金867万。</w:t>
      </w:r>
    </w:p>
    <w:p>
      <w:pPr>
        <w:pageBreakBefore w:val="0"/>
        <w:kinsoku/>
        <w:wordWrap/>
        <w:overflowPunct/>
        <w:topLinePunct w:val="0"/>
        <w:bidi w:val="0"/>
        <w:spacing w:line="570" w:lineRule="exact"/>
        <w:ind w:firstLine="640" w:firstLineChars="200"/>
        <w:rPr>
          <w:rFonts w:ascii="Times New Roman" w:hAnsi="Times New Roman" w:eastAsia="仿宋"/>
          <w:sz w:val="32"/>
          <w:szCs w:val="32"/>
        </w:rPr>
      </w:pPr>
      <w:r>
        <w:rPr>
          <w:rFonts w:hint="eastAsia" w:eastAsia="楷体"/>
          <w:sz w:val="32"/>
          <w:szCs w:val="32"/>
          <w:lang w:eastAsia="zh-CN"/>
        </w:rPr>
        <w:t>三是</w:t>
      </w:r>
      <w:r>
        <w:rPr>
          <w:rFonts w:ascii="Times New Roman" w:hAnsi="Times New Roman" w:eastAsia="楷体"/>
          <w:sz w:val="32"/>
          <w:szCs w:val="32"/>
        </w:rPr>
        <w:t>民生实事工程加快推进。</w:t>
      </w:r>
      <w:r>
        <w:rPr>
          <w:rFonts w:ascii="Times New Roman" w:hAnsi="Times New Roman" w:eastAsia="仿宋"/>
          <w:sz w:val="32"/>
          <w:szCs w:val="32"/>
        </w:rPr>
        <w:t>突出抓好中心城区八大民生实事项目，快速通道拓展项目西段已建成通车、东段已完成70%，凤凰山山前路西段已建成通车、东段已完成60%，建成投用断头路1.8公里。</w:t>
      </w:r>
      <w:r>
        <w:rPr>
          <w:rFonts w:ascii="Times New Roman" w:hAnsi="Times New Roman" w:eastAsia="仿宋"/>
          <w:color w:val="000000"/>
          <w:sz w:val="32"/>
          <w:szCs w:val="32"/>
        </w:rPr>
        <w:t>全市</w:t>
      </w:r>
      <w:r>
        <w:rPr>
          <w:rFonts w:ascii="Times New Roman" w:hAnsi="Times New Roman" w:eastAsia="仿宋"/>
          <w:sz w:val="32"/>
          <w:szCs w:val="32"/>
        </w:rPr>
        <w:t>城镇</w:t>
      </w:r>
      <w:r>
        <w:rPr>
          <w:rFonts w:ascii="Times New Roman" w:hAnsi="Times New Roman" w:eastAsia="仿宋"/>
          <w:color w:val="000000"/>
          <w:sz w:val="32"/>
          <w:szCs w:val="32"/>
        </w:rPr>
        <w:t>危旧房棚户区改造开工15064套，占年度任务的100.06%；基本建成19841套，占年度任务的133.29%；</w:t>
      </w:r>
      <w:r>
        <w:rPr>
          <w:rFonts w:ascii="Times New Roman" w:hAnsi="Times New Roman" w:eastAsia="仿宋"/>
          <w:sz w:val="32"/>
          <w:szCs w:val="32"/>
        </w:rPr>
        <w:t>公租房分配867套，占年度任务的125.47%。全市农村危房改造开工26064户，开工率174.05%，竣工25804户，竣工率172.31%；农村土坯房改造开工41274户，开工率108.18%，竣工36877户，竣工率150.27%。城乡污水处理、公厕改造、乡村污水点等民生实事全面推进，建成污水网管111公里，全市307个乡镇中已建成51个、在建53个、开展前期工作110个，完成黑臭水体整治2个。统筹推进全市厕所革命工作，实施新建厕所74所，改建厕所44所。开工建设乡村居民聚居点生活污水处理393个。</w:t>
      </w:r>
    </w:p>
    <w:p>
      <w:pPr>
        <w:pageBreakBefore w:val="0"/>
        <w:kinsoku/>
        <w:wordWrap/>
        <w:overflowPunct/>
        <w:topLinePunct w:val="0"/>
        <w:bidi w:val="0"/>
        <w:spacing w:line="570" w:lineRule="exact"/>
        <w:ind w:firstLine="640" w:firstLineChars="200"/>
        <w:rPr>
          <w:rFonts w:ascii="Times New Roman" w:hAnsi="Times New Roman" w:eastAsia="仿宋"/>
          <w:sz w:val="32"/>
          <w:szCs w:val="32"/>
        </w:rPr>
      </w:pPr>
      <w:r>
        <w:rPr>
          <w:rFonts w:hint="eastAsia" w:eastAsia="楷体"/>
          <w:sz w:val="32"/>
          <w:szCs w:val="32"/>
          <w:lang w:eastAsia="zh-CN"/>
        </w:rPr>
        <w:t>四是</w:t>
      </w:r>
      <w:r>
        <w:rPr>
          <w:rFonts w:ascii="Times New Roman" w:hAnsi="Times New Roman" w:eastAsia="楷体"/>
          <w:sz w:val="32"/>
          <w:szCs w:val="32"/>
        </w:rPr>
        <w:t>行业管控水平整体提升。</w:t>
      </w:r>
      <w:r>
        <w:rPr>
          <w:rFonts w:ascii="Times New Roman" w:hAnsi="Times New Roman" w:eastAsia="仿宋"/>
          <w:sz w:val="32"/>
          <w:szCs w:val="32"/>
        </w:rPr>
        <w:t>强力推动“六必须、六不准和六个100%”落地落实</w:t>
      </w:r>
      <w:r>
        <w:rPr>
          <w:rFonts w:hint="eastAsia" w:eastAsia="仿宋"/>
          <w:sz w:val="32"/>
          <w:szCs w:val="32"/>
          <w:lang w:eastAsia="zh-CN"/>
        </w:rPr>
        <w:t>。</w:t>
      </w:r>
      <w:r>
        <w:rPr>
          <w:rFonts w:ascii="Times New Roman" w:hAnsi="Times New Roman" w:eastAsia="仿宋"/>
          <w:sz w:val="32"/>
          <w:szCs w:val="32"/>
        </w:rPr>
        <w:t>检查工地1730余次，曝光工地39个，移交项目行政处罚55件，约谈相关责任人60余人次。强化建筑工程质量安全监管，记不良行为记录企业6家，创建省级标准化建筑工地10个。</w:t>
      </w:r>
      <w:r>
        <w:rPr>
          <w:rFonts w:ascii="Times New Roman" w:hAnsi="Times New Roman" w:eastAsia="仿宋"/>
          <w:color w:val="000000"/>
          <w:sz w:val="32"/>
          <w:szCs w:val="32"/>
        </w:rPr>
        <w:t>出台《达州市防范化解房地产领域风险的意见》，从14个方面防范化解房产领域风险。开展物业管理专项整治行动3次，整治各类问题897个，通报批</w:t>
      </w:r>
      <w:r>
        <w:rPr>
          <w:rFonts w:ascii="Times New Roman" w:hAnsi="Times New Roman" w:eastAsia="仿宋"/>
          <w:sz w:val="32"/>
          <w:szCs w:val="32"/>
        </w:rPr>
        <w:t>评物业企业</w:t>
      </w:r>
      <w:r>
        <w:rPr>
          <w:rFonts w:ascii="Times New Roman" w:hAnsi="Times New Roman" w:eastAsia="仿宋"/>
          <w:color w:val="000000"/>
          <w:sz w:val="32"/>
          <w:szCs w:val="32"/>
        </w:rPr>
        <w:t>5家</w:t>
      </w:r>
      <w:r>
        <w:rPr>
          <w:rFonts w:ascii="Times New Roman" w:hAnsi="Times New Roman" w:eastAsia="仿宋"/>
          <w:sz w:val="32"/>
          <w:szCs w:val="32"/>
        </w:rPr>
        <w:t>，扣减信用分值3家。启动老城区6条街道燃气管网改造，整改安全隐患85处，全市110家城镇燃气无一起安全事故发生。严格实行公开招投标，有力规范了建设工程招投标工作。目前，市本级（含通川区）共完成161个标段的招投标监管，公开招标率达100%，节约国家投资17196.3万元。</w:t>
      </w:r>
    </w:p>
    <w:p>
      <w:pPr>
        <w:pStyle w:val="6"/>
        <w:pageBreakBefore w:val="0"/>
        <w:kinsoku/>
        <w:wordWrap/>
        <w:overflowPunct/>
        <w:topLinePunct w:val="0"/>
        <w:bidi w:val="0"/>
        <w:spacing w:beforeLines="0" w:line="570" w:lineRule="exact"/>
        <w:ind w:right="104" w:firstLine="600" w:firstLineChars="200"/>
        <w:rPr>
          <w:rFonts w:ascii="仿宋" w:hAnsi="仿宋" w:eastAsia="仿宋"/>
          <w:bCs/>
          <w:color w:val="auto"/>
          <w:sz w:val="32"/>
          <w:szCs w:val="32"/>
          <w:highlight w:val="none"/>
        </w:rPr>
      </w:pPr>
      <w:r>
        <w:rPr>
          <w:rFonts w:hint="eastAsia" w:ascii="Times New Roman" w:eastAsia="楷体" w:cs="Times New Roman"/>
          <w:kern w:val="2"/>
          <w:lang w:eastAsia="zh-CN"/>
        </w:rPr>
        <w:t>五是</w:t>
      </w:r>
      <w:r>
        <w:rPr>
          <w:rFonts w:ascii="Times New Roman" w:hAnsi="Times New Roman" w:eastAsia="楷体" w:cs="Times New Roman"/>
          <w:kern w:val="2"/>
          <w:lang w:eastAsia="zh-CN"/>
        </w:rPr>
        <w:t>自身建设明显加强。</w:t>
      </w:r>
      <w:r>
        <w:rPr>
          <w:rFonts w:ascii="Times New Roman" w:hAnsi="Times New Roman" w:eastAsia="仿宋" w:cs="Times New Roman"/>
          <w:kern w:val="2"/>
          <w:sz w:val="32"/>
          <w:szCs w:val="32"/>
          <w:lang w:val="en-US" w:eastAsia="zh-CN" w:bidi="ar-SA"/>
        </w:rPr>
        <w:t>树牢“党建最大政绩观”，制定党建清单，创新实施党建“六个一”工作法，积极创建党支部标准工作法示范支部，全面推行党员积分量化管理。召开全系统意识形态工作学习推进会，全年开展中心组学习15次，开展述学评学考学活动3次，与5家媒体签订合作协议。扎实开展“三个一活动”，排查梳理一级风险点6个，二级风险点41个，三级风险点31个，梳理508项行政权力，组织谈心谈话500余人次，干部任前谈话25人次，从严治党落地落实。重拳整治作风顽疾，开展“讲规矩、守纪律、转作风”专项整治活动，党风政风持续好转。提拔调整科级干部27名，轮岗交流5名。引进专业人才5人，其中，硕士以上学历3人。坚持会前学法制度，全年学习各类法律法规20余部，一体化平台实时录入运行行权案件8917条，立案城乡建设违法违规案件124件，发出责令整改通知书114份，发出处罚决定书55份，罚款2240万元。统筹抓实住建领域改革，市建筑总公司改制、市检测中心改革有序推进，城投公司如期完成工商注册登记并挂牌成立。创新脱贫攻坚“一线党委会工作法”，全年筹集脱贫资金32万元，46户189人成功脱贫，双柏社区脱贫致富步伐明显加快。大力推进“放管服”工作，所有审批事项在法定时限基础上提速50%以上</w:t>
      </w:r>
      <w:r>
        <w:rPr>
          <w:rFonts w:hint="eastAsia" w:ascii="Times New Roman" w:eastAsia="仿宋" w:cs="Times New Roman"/>
          <w:kern w:val="2"/>
          <w:sz w:val="32"/>
          <w:szCs w:val="32"/>
          <w:lang w:val="en-US" w:eastAsia="zh-CN" w:bidi="ar-SA"/>
        </w:rPr>
        <w:t>，</w:t>
      </w:r>
      <w:r>
        <w:rPr>
          <w:rFonts w:ascii="Times New Roman" w:hAnsi="Times New Roman" w:eastAsia="仿宋" w:cs="Times New Roman"/>
          <w:kern w:val="2"/>
          <w:sz w:val="32"/>
          <w:szCs w:val="32"/>
          <w:lang w:val="en-US" w:eastAsia="zh-CN" w:bidi="ar-SA"/>
        </w:rPr>
        <w:t>实现办结率、并联审批事项一窗办理率、群众满意度三个100%。化解“香榭国际”、张乃文军转安置、蓝润十年城等11件遗留信访问题，特别是长达10余年的滨江明珠等遗留问题，房屋换签协议超过98%，问题已基本化解。</w:t>
      </w:r>
    </w:p>
    <w:p>
      <w:pPr>
        <w:pStyle w:val="4"/>
        <w:pageBreakBefore w:val="0"/>
        <w:kinsoku/>
        <w:wordWrap/>
        <w:overflowPunct/>
        <w:topLinePunct w:val="0"/>
        <w:bidi w:val="0"/>
        <w:spacing w:before="0" w:after="0" w:line="570" w:lineRule="exact"/>
        <w:ind w:firstLine="640" w:firstLineChars="200"/>
        <w:rPr>
          <w:rStyle w:val="27"/>
          <w:b w:val="0"/>
          <w:bCs w:val="0"/>
          <w:color w:val="auto"/>
          <w:highlight w:val="none"/>
        </w:rPr>
      </w:pPr>
      <w:bookmarkStart w:id="16" w:name="_Toc8986"/>
      <w:bookmarkStart w:id="17"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27"/>
          <w:rFonts w:hint="eastAsia" w:ascii="黑体" w:hAnsi="黑体" w:eastAsia="黑体"/>
          <w:b w:val="0"/>
          <w:bCs w:val="0"/>
          <w:color w:val="auto"/>
          <w:highlight w:val="none"/>
        </w:rPr>
        <w:t>构设置</w:t>
      </w:r>
      <w:bookmarkEnd w:id="16"/>
      <w:bookmarkEnd w:id="17"/>
    </w:p>
    <w:p>
      <w:pPr>
        <w:pageBreakBefore w:val="0"/>
        <w:kinsoku/>
        <w:wordWrap/>
        <w:overflowPunct/>
        <w:topLinePunct w:val="0"/>
        <w:bidi w:val="0"/>
        <w:spacing w:line="570" w:lineRule="exact"/>
        <w:ind w:firstLine="800" w:firstLineChars="25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市住房和城级建设局</w:t>
      </w:r>
      <w:r>
        <w:rPr>
          <w:rFonts w:hint="eastAsia" w:ascii="仿宋" w:hAnsi="仿宋" w:eastAsia="仿宋"/>
          <w:color w:val="auto"/>
          <w:sz w:val="32"/>
          <w:szCs w:val="32"/>
          <w:highlight w:val="none"/>
        </w:rPr>
        <w:t>下属二级单位</w:t>
      </w:r>
      <w:r>
        <w:rPr>
          <w:rFonts w:hint="eastAsia" w:ascii="仿宋" w:hAnsi="仿宋" w:eastAsia="仿宋"/>
          <w:color w:val="auto"/>
          <w:sz w:val="32"/>
          <w:szCs w:val="32"/>
          <w:highlight w:val="none"/>
          <w:lang w:val="en-US" w:eastAsia="zh-CN"/>
        </w:rPr>
        <w:t>10</w:t>
      </w:r>
      <w:r>
        <w:rPr>
          <w:rFonts w:hint="eastAsia" w:ascii="仿宋" w:hAnsi="仿宋" w:eastAsia="仿宋"/>
          <w:color w:val="auto"/>
          <w:sz w:val="32"/>
          <w:szCs w:val="32"/>
          <w:highlight w:val="none"/>
        </w:rPr>
        <w:t>个，其中</w:t>
      </w:r>
      <w:r>
        <w:rPr>
          <w:rFonts w:hint="eastAsia"/>
          <w:color w:val="000000"/>
          <w:sz w:val="32"/>
          <w:szCs w:val="32"/>
        </w:rPr>
        <w:t>行政单</w:t>
      </w:r>
      <w:r>
        <w:rPr>
          <w:rFonts w:ascii="Times New Roman"/>
          <w:color w:val="000000"/>
          <w:sz w:val="32"/>
          <w:szCs w:val="32"/>
        </w:rPr>
        <w:t>位0</w:t>
      </w:r>
      <w:r>
        <w:rPr>
          <w:rFonts w:hint="eastAsia"/>
          <w:color w:val="000000"/>
          <w:sz w:val="32"/>
          <w:szCs w:val="32"/>
        </w:rPr>
        <w:t>个，</w:t>
      </w:r>
      <w:r>
        <w:rPr>
          <w:rFonts w:hint="eastAsia" w:ascii="仿宋" w:hAnsi="仿宋" w:eastAsia="仿宋"/>
          <w:color w:val="auto"/>
          <w:sz w:val="32"/>
          <w:szCs w:val="32"/>
          <w:highlight w:val="none"/>
        </w:rPr>
        <w:t>参照公务员法管理的事业单位</w:t>
      </w:r>
      <w:r>
        <w:rPr>
          <w:rFonts w:hint="eastAsia" w:ascii="仿宋" w:hAnsi="仿宋" w:eastAsia="仿宋"/>
          <w:bCs/>
          <w:color w:val="auto"/>
          <w:sz w:val="32"/>
          <w:szCs w:val="32"/>
          <w:highlight w:val="none"/>
          <w:lang w:val="en-US" w:eastAsia="zh-CN"/>
        </w:rPr>
        <w:t>3</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个。</w:t>
      </w:r>
    </w:p>
    <w:p>
      <w:pPr>
        <w:pStyle w:val="6"/>
        <w:pageBreakBefore w:val="0"/>
        <w:kinsoku/>
        <w:wordWrap/>
        <w:overflowPunct/>
        <w:topLinePunct w:val="0"/>
        <w:bidi w:val="0"/>
        <w:adjustRightInd w:val="0"/>
        <w:snapToGrid w:val="0"/>
        <w:spacing w:beforeLines="0" w:line="57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纳入</w:t>
      </w:r>
      <w:r>
        <w:rPr>
          <w:rFonts w:hint="eastAsia" w:ascii="仿宋" w:hAnsi="仿宋" w:eastAsia="仿宋"/>
          <w:color w:val="auto"/>
          <w:sz w:val="32"/>
          <w:szCs w:val="32"/>
          <w:highlight w:val="none"/>
          <w:lang w:eastAsia="zh-CN"/>
        </w:rPr>
        <w:t>市住房和城乡建设局</w:t>
      </w:r>
      <w:r>
        <w:rPr>
          <w:rFonts w:hint="eastAsia" w:ascii="仿宋" w:hAnsi="仿宋" w:eastAsia="仿宋"/>
          <w:color w:val="auto"/>
          <w:sz w:val="32"/>
          <w:szCs w:val="32"/>
          <w:highlight w:val="none"/>
        </w:rPr>
        <w:t>2018年度部门决算编制范围的二级预算单位包括：</w:t>
      </w:r>
    </w:p>
    <w:p>
      <w:pPr>
        <w:pStyle w:val="6"/>
        <w:pageBreakBefore w:val="0"/>
        <w:kinsoku/>
        <w:wordWrap/>
        <w:overflowPunct/>
        <w:topLinePunct w:val="0"/>
        <w:bidi w:val="0"/>
        <w:adjustRightInd w:val="0"/>
        <w:snapToGrid w:val="0"/>
        <w:spacing w:beforeLines="0" w:line="570" w:lineRule="exact"/>
        <w:ind w:firstLine="672" w:firstLineChars="21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lang w:eastAsia="zh-CN"/>
        </w:rPr>
        <w:t>市房产管理局</w:t>
      </w:r>
    </w:p>
    <w:p>
      <w:pPr>
        <w:pStyle w:val="6"/>
        <w:pageBreakBefore w:val="0"/>
        <w:kinsoku/>
        <w:wordWrap/>
        <w:overflowPunct/>
        <w:topLinePunct w:val="0"/>
        <w:bidi w:val="0"/>
        <w:adjustRightInd w:val="0"/>
        <w:snapToGrid w:val="0"/>
        <w:spacing w:beforeLines="0" w:line="570" w:lineRule="exact"/>
        <w:ind w:firstLine="672" w:firstLineChars="21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lang w:eastAsia="zh-CN"/>
        </w:rPr>
        <w:t>市政府投资非经营性房屋建筑项目代建管理中心</w:t>
      </w:r>
    </w:p>
    <w:p>
      <w:pPr>
        <w:pStyle w:val="6"/>
        <w:pageBreakBefore w:val="0"/>
        <w:kinsoku/>
        <w:wordWrap/>
        <w:overflowPunct/>
        <w:topLinePunct w:val="0"/>
        <w:bidi w:val="0"/>
        <w:adjustRightInd w:val="0"/>
        <w:snapToGrid w:val="0"/>
        <w:spacing w:beforeLines="0" w:line="570" w:lineRule="exact"/>
        <w:ind w:firstLine="672" w:firstLineChars="21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lang w:eastAsia="zh-CN"/>
        </w:rPr>
        <w:t>市建设工程质量安全监督站</w:t>
      </w:r>
    </w:p>
    <w:p>
      <w:pPr>
        <w:pStyle w:val="6"/>
        <w:pageBreakBefore w:val="0"/>
        <w:kinsoku/>
        <w:wordWrap/>
        <w:overflowPunct/>
        <w:topLinePunct w:val="0"/>
        <w:bidi w:val="0"/>
        <w:adjustRightInd w:val="0"/>
        <w:snapToGrid w:val="0"/>
        <w:spacing w:beforeLines="0" w:line="570" w:lineRule="exact"/>
        <w:ind w:firstLine="672" w:firstLineChars="21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lang w:eastAsia="zh-CN"/>
        </w:rPr>
        <w:t>市规划建设监察支队</w:t>
      </w:r>
    </w:p>
    <w:p>
      <w:pPr>
        <w:pStyle w:val="6"/>
        <w:pageBreakBefore w:val="0"/>
        <w:kinsoku/>
        <w:wordWrap/>
        <w:overflowPunct/>
        <w:topLinePunct w:val="0"/>
        <w:bidi w:val="0"/>
        <w:adjustRightInd w:val="0"/>
        <w:snapToGrid w:val="0"/>
        <w:spacing w:beforeLines="0" w:line="570" w:lineRule="exact"/>
        <w:ind w:firstLine="672" w:firstLineChars="21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lang w:eastAsia="zh-CN"/>
        </w:rPr>
        <w:t>市建设工程造价管理站</w:t>
      </w:r>
    </w:p>
    <w:p>
      <w:pPr>
        <w:pStyle w:val="6"/>
        <w:pageBreakBefore w:val="0"/>
        <w:kinsoku/>
        <w:wordWrap/>
        <w:overflowPunct/>
        <w:topLinePunct w:val="0"/>
        <w:bidi w:val="0"/>
        <w:adjustRightInd w:val="0"/>
        <w:snapToGrid w:val="0"/>
        <w:spacing w:beforeLines="0" w:line="570" w:lineRule="exact"/>
        <w:ind w:firstLine="672" w:firstLineChars="21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lang w:eastAsia="zh-CN"/>
        </w:rPr>
        <w:t>市重点工程建设项目管理中心</w:t>
      </w:r>
    </w:p>
    <w:p>
      <w:pPr>
        <w:pStyle w:val="6"/>
        <w:pageBreakBefore w:val="0"/>
        <w:kinsoku/>
        <w:wordWrap/>
        <w:overflowPunct/>
        <w:topLinePunct w:val="0"/>
        <w:bidi w:val="0"/>
        <w:adjustRightInd w:val="0"/>
        <w:snapToGrid w:val="0"/>
        <w:spacing w:beforeLines="0" w:line="570" w:lineRule="exact"/>
        <w:ind w:firstLine="672" w:firstLineChars="21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lang w:eastAsia="zh-CN"/>
        </w:rPr>
        <w:t>市建设工程质量检测中心</w:t>
      </w:r>
    </w:p>
    <w:p>
      <w:pPr>
        <w:pStyle w:val="6"/>
        <w:pageBreakBefore w:val="0"/>
        <w:kinsoku/>
        <w:wordWrap/>
        <w:overflowPunct/>
        <w:topLinePunct w:val="0"/>
        <w:bidi w:val="0"/>
        <w:adjustRightInd w:val="0"/>
        <w:snapToGrid w:val="0"/>
        <w:spacing w:beforeLines="0" w:line="570" w:lineRule="exact"/>
        <w:ind w:firstLine="672" w:firstLineChars="21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lang w:eastAsia="zh-CN"/>
        </w:rPr>
        <w:t>市城乡建设档案馆</w:t>
      </w:r>
    </w:p>
    <w:p>
      <w:pPr>
        <w:pStyle w:val="6"/>
        <w:pageBreakBefore w:val="0"/>
        <w:kinsoku/>
        <w:wordWrap/>
        <w:overflowPunct/>
        <w:topLinePunct w:val="0"/>
        <w:bidi w:val="0"/>
        <w:adjustRightInd w:val="0"/>
        <w:snapToGrid w:val="0"/>
        <w:spacing w:beforeLines="0" w:line="570" w:lineRule="exact"/>
        <w:ind w:firstLine="672" w:firstLineChars="21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lang w:eastAsia="zh-CN"/>
        </w:rPr>
        <w:t>市住房和城乡规划建设教育培训中心</w:t>
      </w:r>
    </w:p>
    <w:p>
      <w:pPr>
        <w:pStyle w:val="6"/>
        <w:pageBreakBefore w:val="0"/>
        <w:kinsoku/>
        <w:wordWrap/>
        <w:overflowPunct/>
        <w:topLinePunct w:val="0"/>
        <w:bidi w:val="0"/>
        <w:adjustRightInd w:val="0"/>
        <w:snapToGrid w:val="0"/>
        <w:spacing w:beforeLines="0" w:line="570" w:lineRule="exact"/>
        <w:ind w:firstLine="672" w:firstLineChars="21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10.</w:t>
      </w:r>
      <w:r>
        <w:rPr>
          <w:rFonts w:hint="eastAsia" w:ascii="仿宋" w:hAnsi="仿宋" w:eastAsia="仿宋"/>
          <w:color w:val="auto"/>
          <w:sz w:val="32"/>
          <w:szCs w:val="32"/>
          <w:highlight w:val="none"/>
          <w:lang w:eastAsia="zh-CN"/>
        </w:rPr>
        <w:t>市公积金管委会办公室</w:t>
      </w:r>
    </w:p>
    <w:p>
      <w:pPr>
        <w:pageBreakBefore w:val="0"/>
        <w:widowControl/>
        <w:kinsoku/>
        <w:wordWrap/>
        <w:overflowPunct/>
        <w:topLinePunct w:val="0"/>
        <w:bidi w:val="0"/>
        <w:spacing w:line="570" w:lineRule="exact"/>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pageBreakBefore w:val="0"/>
        <w:kinsoku/>
        <w:wordWrap/>
        <w:overflowPunct/>
        <w:topLinePunct w:val="0"/>
        <w:bidi w:val="0"/>
        <w:spacing w:before="0" w:after="0" w:line="570" w:lineRule="exact"/>
        <w:ind w:right="440"/>
        <w:jc w:val="right"/>
        <w:rPr>
          <w:rFonts w:hint="eastAsia" w:ascii="黑体" w:hAnsi="黑体" w:eastAsia="黑体"/>
          <w:b w:val="0"/>
          <w:color w:val="auto"/>
          <w:highlight w:val="none"/>
        </w:rPr>
      </w:pPr>
      <w:bookmarkStart w:id="18" w:name="_Toc17001"/>
      <w:bookmarkStart w:id="19" w:name="_Toc15377204"/>
    </w:p>
    <w:p>
      <w:pPr>
        <w:pStyle w:val="3"/>
        <w:pageBreakBefore w:val="0"/>
        <w:kinsoku/>
        <w:wordWrap/>
        <w:overflowPunct/>
        <w:topLinePunct w:val="0"/>
        <w:bidi w:val="0"/>
        <w:spacing w:before="0" w:after="0" w:line="570" w:lineRule="exact"/>
        <w:ind w:right="440"/>
        <w:jc w:val="right"/>
        <w:rPr>
          <w:rStyle w:val="26"/>
          <w:rFonts w:ascii="黑体" w:hAnsi="黑体" w:eastAsia="黑体"/>
          <w:b w:val="0"/>
          <w:bCs w:val="0"/>
          <w:color w:val="auto"/>
          <w:highlight w:val="none"/>
        </w:rPr>
      </w:pPr>
      <w:r>
        <w:rPr>
          <w:rFonts w:hint="eastAsia" w:ascii="黑体" w:hAnsi="黑体" w:eastAsia="黑体"/>
          <w:b w:val="0"/>
          <w:color w:val="auto"/>
          <w:highlight w:val="none"/>
        </w:rPr>
        <w:t>第二部分</w:t>
      </w:r>
      <w:r>
        <w:rPr>
          <w:rFonts w:hint="eastAsia" w:ascii="黑体" w:hAnsi="黑体" w:eastAsia="黑体"/>
          <w:color w:val="auto"/>
          <w:highlight w:val="none"/>
        </w:rPr>
        <w:t xml:space="preserve"> </w:t>
      </w:r>
      <w:r>
        <w:rPr>
          <w:rStyle w:val="26"/>
          <w:rFonts w:hint="eastAsia" w:ascii="黑体" w:hAnsi="黑体" w:eastAsia="黑体"/>
          <w:b w:val="0"/>
          <w:bCs w:val="0"/>
          <w:color w:val="auto"/>
          <w:highlight w:val="none"/>
        </w:rPr>
        <w:t>2018年度部门决算情况说明</w:t>
      </w:r>
      <w:bookmarkEnd w:id="18"/>
      <w:bookmarkEnd w:id="19"/>
    </w:p>
    <w:p>
      <w:pPr>
        <w:pageBreakBefore w:val="0"/>
        <w:kinsoku/>
        <w:wordWrap/>
        <w:overflowPunct/>
        <w:topLinePunct w:val="0"/>
        <w:bidi w:val="0"/>
        <w:spacing w:line="570" w:lineRule="exact"/>
        <w:rPr>
          <w:color w:val="auto"/>
          <w:highlight w:val="none"/>
        </w:rPr>
      </w:pPr>
    </w:p>
    <w:p>
      <w:pPr>
        <w:pStyle w:val="25"/>
        <w:pageBreakBefore w:val="0"/>
        <w:numPr>
          <w:ilvl w:val="0"/>
          <w:numId w:val="1"/>
        </w:numPr>
        <w:kinsoku/>
        <w:wordWrap/>
        <w:overflowPunct/>
        <w:topLinePunct w:val="0"/>
        <w:bidi w:val="0"/>
        <w:spacing w:line="570" w:lineRule="exact"/>
        <w:ind w:firstLineChars="0"/>
        <w:outlineLvl w:val="1"/>
        <w:rPr>
          <w:rStyle w:val="27"/>
          <w:rFonts w:ascii="黑体" w:hAnsi="黑体" w:eastAsia="黑体"/>
          <w:b w:val="0"/>
          <w:color w:val="auto"/>
          <w:highlight w:val="none"/>
        </w:rPr>
      </w:pPr>
      <w:bookmarkStart w:id="20" w:name="_Toc15377205"/>
      <w:bookmarkStart w:id="21" w:name="_Toc20699"/>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20"/>
      <w:bookmarkEnd w:id="21"/>
    </w:p>
    <w:p>
      <w:pPr>
        <w:pageBreakBefore w:val="0"/>
        <w:kinsoku/>
        <w:wordWrap/>
        <w:overflowPunct/>
        <w:topLinePunct w:val="0"/>
        <w:bidi w:val="0"/>
        <w:spacing w:line="57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2018年度收</w:t>
      </w:r>
      <w:r>
        <w:rPr>
          <w:rFonts w:hint="eastAsia" w:ascii="仿宋" w:hAnsi="仿宋" w:eastAsia="仿宋"/>
          <w:color w:val="auto"/>
          <w:sz w:val="32"/>
          <w:szCs w:val="32"/>
          <w:highlight w:val="none"/>
          <w:lang w:eastAsia="zh-CN"/>
        </w:rPr>
        <w:t>、支总计</w:t>
      </w:r>
      <w:r>
        <w:rPr>
          <w:rFonts w:hint="eastAsia" w:ascii="仿宋" w:hAnsi="仿宋" w:eastAsia="仿宋"/>
          <w:color w:val="auto"/>
          <w:sz w:val="32"/>
          <w:szCs w:val="32"/>
          <w:highlight w:val="none"/>
          <w:lang w:val="en-US" w:eastAsia="zh-CN"/>
        </w:rPr>
        <w:t>29846.78万元，</w:t>
      </w:r>
      <w:r>
        <w:rPr>
          <w:rFonts w:hint="eastAsia" w:ascii="仿宋" w:hAnsi="仿宋" w:eastAsia="仿宋"/>
          <w:color w:val="auto"/>
          <w:sz w:val="32"/>
          <w:szCs w:val="32"/>
          <w:highlight w:val="none"/>
        </w:rPr>
        <w:t>与2017年相比，收、支总计增加</w:t>
      </w:r>
      <w:r>
        <w:rPr>
          <w:rFonts w:hint="eastAsia" w:ascii="仿宋" w:hAnsi="仿宋" w:eastAsia="仿宋"/>
          <w:color w:val="auto"/>
          <w:sz w:val="32"/>
          <w:szCs w:val="32"/>
          <w:highlight w:val="none"/>
          <w:lang w:val="en-US" w:eastAsia="zh-CN"/>
        </w:rPr>
        <w:t>16406.34万元，增长122.07%。变动的主要原因是：城乡社区、交通运输、资源勘探信息等支出分别增加9420.51万元、4937.01万元、1001.24万元。</w:t>
      </w:r>
    </w:p>
    <w:p>
      <w:pPr>
        <w:pageBreakBefore w:val="0"/>
        <w:kinsoku/>
        <w:wordWrap/>
        <w:overflowPunct/>
        <w:topLinePunct w:val="0"/>
        <w:bidi w:val="0"/>
        <w:spacing w:line="57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
        <w:rPr>
          <w:rFonts w:ascii="仿宋_GB2312" w:eastAsia="仿宋_GB2312"/>
          <w:color w:val="auto"/>
          <w:sz w:val="32"/>
          <w:szCs w:val="32"/>
          <w:highlight w:val="none"/>
        </w:rPr>
      </w:pPr>
      <w:r>
        <w:drawing>
          <wp:inline distT="0" distB="0" distL="114300" distR="114300">
            <wp:extent cx="4579620" cy="2344420"/>
            <wp:effectExtent l="4445" t="4445" r="18415" b="1333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5"/>
        <w:pageBreakBefore w:val="0"/>
        <w:numPr>
          <w:ilvl w:val="0"/>
          <w:numId w:val="1"/>
        </w:numPr>
        <w:kinsoku/>
        <w:wordWrap/>
        <w:overflowPunct/>
        <w:topLinePunct w:val="0"/>
        <w:bidi w:val="0"/>
        <w:spacing w:line="570" w:lineRule="exact"/>
        <w:ind w:firstLineChars="0"/>
        <w:outlineLvl w:val="1"/>
        <w:rPr>
          <w:rStyle w:val="27"/>
          <w:rFonts w:ascii="黑体" w:hAnsi="黑体" w:eastAsia="黑体"/>
          <w:b w:val="0"/>
          <w:color w:val="auto"/>
          <w:highlight w:val="none"/>
        </w:rPr>
      </w:pPr>
      <w:bookmarkStart w:id="22" w:name="_Toc15377206"/>
      <w:bookmarkStart w:id="23" w:name="_Toc6613"/>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2"/>
      <w:bookmarkEnd w:id="23"/>
    </w:p>
    <w:p>
      <w:pPr>
        <w:pageBreakBefore w:val="0"/>
        <w:kinsoku/>
        <w:wordWrap/>
        <w:overflowPunct/>
        <w:topLinePunct w:val="0"/>
        <w:bidi w:val="0"/>
        <w:spacing w:line="57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201</w:t>
      </w:r>
      <w:r>
        <w:rPr>
          <w:rFonts w:hint="eastAsia" w:ascii="仿宋" w:hAnsi="仿宋" w:eastAsia="仿宋"/>
          <w:color w:val="auto"/>
          <w:sz w:val="32"/>
          <w:szCs w:val="32"/>
          <w:highlight w:val="none"/>
        </w:rPr>
        <w:t>8年本年收入合计</w:t>
      </w:r>
      <w:r>
        <w:rPr>
          <w:rFonts w:hint="eastAsia" w:ascii="仿宋" w:hAnsi="仿宋" w:eastAsia="仿宋"/>
          <w:color w:val="auto"/>
          <w:sz w:val="32"/>
          <w:szCs w:val="32"/>
          <w:highlight w:val="none"/>
          <w:lang w:val="en-US" w:eastAsia="zh-CN"/>
        </w:rPr>
        <w:t>19762.15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9063.45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45.86%</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10698.70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54.14</w:t>
      </w:r>
      <w:r>
        <w:rPr>
          <w:rFonts w:ascii="仿宋" w:hAnsi="仿宋" w:eastAsia="仿宋"/>
          <w:color w:val="auto"/>
          <w:sz w:val="32"/>
          <w:szCs w:val="32"/>
          <w:highlight w:val="none"/>
        </w:rPr>
        <w:t>%</w:t>
      </w:r>
      <w:r>
        <w:rPr>
          <w:rFonts w:hint="eastAsia" w:ascii="仿宋" w:hAnsi="仿宋" w:eastAsia="仿宋"/>
          <w:color w:val="auto"/>
          <w:sz w:val="32"/>
          <w:szCs w:val="32"/>
          <w:highlight w:val="none"/>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与2017年相比，</w:t>
      </w:r>
      <w:r>
        <w:rPr>
          <w:rFonts w:hint="eastAsia" w:ascii="仿宋" w:hAnsi="仿宋" w:eastAsia="仿宋"/>
          <w:color w:val="auto"/>
          <w:sz w:val="32"/>
          <w:szCs w:val="32"/>
          <w:highlight w:val="none"/>
          <w:lang w:eastAsia="zh-CN"/>
        </w:rPr>
        <w:t>本年收入增加</w:t>
      </w:r>
      <w:r>
        <w:rPr>
          <w:rFonts w:hint="eastAsia" w:ascii="仿宋" w:hAnsi="仿宋" w:eastAsia="仿宋"/>
          <w:color w:val="auto"/>
          <w:sz w:val="32"/>
          <w:szCs w:val="32"/>
          <w:highlight w:val="none"/>
          <w:lang w:val="en-US" w:eastAsia="zh-CN"/>
        </w:rPr>
        <w:t>8493.61万元，增长75.37%，</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一般公共预算财政拨款收入增加1949.39万元，政府性基金预算财政拨款收入增加6544.22万元。）</w:t>
      </w:r>
    </w:p>
    <w:p>
      <w:pPr>
        <w:pageBreakBefore w:val="0"/>
        <w:kinsoku/>
        <w:wordWrap/>
        <w:overflowPunct/>
        <w:topLinePunct w:val="0"/>
        <w:bidi w:val="0"/>
        <w:spacing w:line="57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pStyle w:val="2"/>
        <w:rPr>
          <w:rFonts w:ascii="仿宋_GB2312" w:eastAsia="仿宋_GB2312"/>
          <w:color w:val="auto"/>
          <w:sz w:val="32"/>
          <w:szCs w:val="32"/>
          <w:highlight w:val="none"/>
        </w:rPr>
      </w:pPr>
      <w:r>
        <w:drawing>
          <wp:inline distT="0" distB="0" distL="114300" distR="114300">
            <wp:extent cx="4462145" cy="2193290"/>
            <wp:effectExtent l="5080" t="4445" r="13335" b="1206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5"/>
        <w:pageBreakBefore w:val="0"/>
        <w:numPr>
          <w:ilvl w:val="0"/>
          <w:numId w:val="1"/>
        </w:numPr>
        <w:kinsoku/>
        <w:wordWrap/>
        <w:overflowPunct/>
        <w:topLinePunct w:val="0"/>
        <w:bidi w:val="0"/>
        <w:spacing w:line="570" w:lineRule="exact"/>
        <w:ind w:firstLineChars="0"/>
        <w:outlineLvl w:val="1"/>
        <w:rPr>
          <w:rStyle w:val="27"/>
          <w:rFonts w:ascii="黑体" w:hAnsi="黑体" w:eastAsia="黑体"/>
          <w:b w:val="0"/>
          <w:color w:val="auto"/>
          <w:highlight w:val="none"/>
        </w:rPr>
      </w:pPr>
      <w:bookmarkStart w:id="24" w:name="_Toc15377207"/>
      <w:bookmarkStart w:id="25" w:name="_Toc30118"/>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24"/>
      <w:bookmarkEnd w:id="25"/>
    </w:p>
    <w:p>
      <w:pPr>
        <w:pageBreakBefore w:val="0"/>
        <w:kinsoku/>
        <w:wordWrap/>
        <w:overflowPunct/>
        <w:topLinePunct w:val="0"/>
        <w:bidi w:val="0"/>
        <w:spacing w:line="570" w:lineRule="exact"/>
        <w:ind w:firstLine="640" w:firstLineChars="200"/>
        <w:rPr>
          <w:rFonts w:ascii="仿宋" w:hAnsi="仿宋" w:eastAsia="仿宋"/>
          <w:color w:val="auto"/>
          <w:sz w:val="32"/>
          <w:szCs w:val="32"/>
          <w:highlight w:val="none"/>
          <w:shd w:val="pct10" w:color="auto" w:fill="FFFFFF"/>
        </w:rPr>
      </w:pPr>
      <w:r>
        <w:rPr>
          <w:rFonts w:ascii="仿宋" w:hAnsi="仿宋" w:eastAsia="仿宋"/>
          <w:color w:val="auto"/>
          <w:sz w:val="32"/>
          <w:szCs w:val="32"/>
          <w:highlight w:val="none"/>
        </w:rPr>
        <w:t>201</w:t>
      </w:r>
      <w:r>
        <w:rPr>
          <w:rFonts w:hint="eastAsia" w:ascii="仿宋" w:hAnsi="仿宋" w:eastAsia="仿宋"/>
          <w:color w:val="auto"/>
          <w:sz w:val="32"/>
          <w:szCs w:val="32"/>
          <w:highlight w:val="none"/>
        </w:rPr>
        <w:t>8年本年支出合计</w:t>
      </w:r>
      <w:r>
        <w:rPr>
          <w:rFonts w:hint="eastAsia" w:ascii="仿宋" w:hAnsi="仿宋" w:eastAsia="仿宋"/>
          <w:color w:val="auto"/>
          <w:sz w:val="32"/>
          <w:szCs w:val="32"/>
          <w:highlight w:val="none"/>
          <w:lang w:val="en-US" w:eastAsia="zh-CN"/>
        </w:rPr>
        <w:t>18626.26</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760.96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4.09</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17865.3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95.91</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与2017年相比，本年</w:t>
      </w:r>
      <w:r>
        <w:rPr>
          <w:rFonts w:hint="eastAsia" w:ascii="仿宋" w:hAnsi="仿宋" w:eastAsia="仿宋"/>
          <w:color w:val="auto"/>
          <w:sz w:val="32"/>
          <w:szCs w:val="32"/>
          <w:highlight w:val="none"/>
          <w:lang w:val="en-US" w:eastAsia="zh-CN"/>
        </w:rPr>
        <w:t>支出增加15347.53万元，增长468.09%</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基本支出增长13.58万元，项目支出增长15333.95万元。）</w:t>
      </w:r>
    </w:p>
    <w:p>
      <w:pPr>
        <w:pageBreakBefore w:val="0"/>
        <w:kinsoku/>
        <w:wordWrap/>
        <w:overflowPunct/>
        <w:topLinePunct w:val="0"/>
        <w:bidi w:val="0"/>
        <w:spacing w:line="57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pStyle w:val="2"/>
        <w:ind w:left="0" w:leftChars="0" w:firstLine="0" w:firstLineChars="0"/>
      </w:pPr>
      <w:r>
        <w:drawing>
          <wp:inline distT="0" distB="0" distL="114300" distR="114300">
            <wp:extent cx="4038600" cy="2302510"/>
            <wp:effectExtent l="4445" t="4445" r="10795" b="9525"/>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26" w:name="_Toc15377208"/>
      <w:bookmarkStart w:id="27" w:name="_Toc17133"/>
    </w:p>
    <w:p>
      <w:pPr>
        <w:pStyle w:val="2"/>
        <w:ind w:left="0" w:leftChars="0" w:firstLine="640" w:firstLineChars="200"/>
        <w:rPr>
          <w:rStyle w:val="27"/>
          <w:rFonts w:ascii="黑体" w:hAnsi="黑体" w:eastAsia="黑体"/>
          <w:b w:val="0"/>
          <w:color w:val="auto"/>
          <w:highlight w:val="none"/>
        </w:rPr>
      </w:pPr>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26"/>
      <w:bookmarkEnd w:id="27"/>
    </w:p>
    <w:p>
      <w:pPr>
        <w:pageBreakBefore w:val="0"/>
        <w:kinsoku/>
        <w:wordWrap/>
        <w:overflowPunct/>
        <w:topLinePunct w:val="0"/>
        <w:bidi w:val="0"/>
        <w:spacing w:line="57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2018年财政拨款收</w:t>
      </w:r>
      <w:r>
        <w:rPr>
          <w:rFonts w:hint="eastAsia" w:ascii="仿宋" w:hAnsi="仿宋" w:eastAsia="仿宋"/>
          <w:color w:val="auto"/>
          <w:sz w:val="32"/>
          <w:szCs w:val="32"/>
          <w:highlight w:val="none"/>
          <w:lang w:eastAsia="zh-CN"/>
        </w:rPr>
        <w:t>、支总计</w:t>
      </w:r>
      <w:r>
        <w:rPr>
          <w:rFonts w:hint="eastAsia" w:ascii="仿宋" w:hAnsi="仿宋" w:eastAsia="仿宋"/>
          <w:color w:val="auto"/>
          <w:sz w:val="32"/>
          <w:szCs w:val="32"/>
          <w:highlight w:val="none"/>
          <w:lang w:val="en-US" w:eastAsia="zh-CN"/>
        </w:rPr>
        <w:t>29844.60万元，</w:t>
      </w:r>
      <w:r>
        <w:rPr>
          <w:rFonts w:hint="eastAsia" w:ascii="仿宋" w:hAnsi="仿宋" w:eastAsia="仿宋"/>
          <w:color w:val="auto"/>
          <w:sz w:val="32"/>
          <w:szCs w:val="32"/>
          <w:highlight w:val="none"/>
        </w:rPr>
        <w:t>与2017年相比，收、支总计增加</w:t>
      </w:r>
      <w:r>
        <w:rPr>
          <w:rFonts w:hint="eastAsia" w:ascii="仿宋" w:hAnsi="仿宋" w:eastAsia="仿宋"/>
          <w:color w:val="auto"/>
          <w:sz w:val="32"/>
          <w:szCs w:val="32"/>
          <w:highlight w:val="none"/>
          <w:lang w:val="en-US" w:eastAsia="zh-CN"/>
        </w:rPr>
        <w:t>16406.35万元，增长122.09%。变动的主要原因是：城乡社区、交通运输、资源勘探信息等支出分别增加9420.51万元、4937.01万元、1001.24万元。</w:t>
      </w:r>
    </w:p>
    <w:p>
      <w:pPr>
        <w:pageBreakBefore w:val="0"/>
        <w:kinsoku/>
        <w:wordWrap/>
        <w:overflowPunct/>
        <w:topLinePunct w:val="0"/>
        <w:bidi w:val="0"/>
        <w:spacing w:line="57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本年财政拨款收入合计</w:t>
      </w:r>
      <w:r>
        <w:rPr>
          <w:rFonts w:hint="eastAsia" w:ascii="仿宋" w:hAnsi="仿宋" w:eastAsia="仿宋"/>
          <w:color w:val="auto"/>
          <w:sz w:val="32"/>
          <w:szCs w:val="32"/>
          <w:highlight w:val="none"/>
          <w:lang w:val="en-US" w:eastAsia="zh-CN"/>
        </w:rPr>
        <w:t>19762.15</w:t>
      </w:r>
      <w:r>
        <w:rPr>
          <w:rFonts w:hint="eastAsia" w:ascii="仿宋" w:hAnsi="仿宋" w:eastAsia="仿宋"/>
          <w:color w:val="auto"/>
          <w:sz w:val="32"/>
          <w:szCs w:val="32"/>
          <w:highlight w:val="none"/>
        </w:rPr>
        <w:t>万元，与2017年相比，</w:t>
      </w:r>
      <w:r>
        <w:rPr>
          <w:rFonts w:hint="eastAsia" w:ascii="仿宋" w:hAnsi="仿宋" w:eastAsia="仿宋"/>
          <w:color w:val="auto"/>
          <w:sz w:val="32"/>
          <w:szCs w:val="32"/>
          <w:highlight w:val="none"/>
          <w:lang w:eastAsia="zh-CN"/>
        </w:rPr>
        <w:t>本年度</w:t>
      </w:r>
      <w:r>
        <w:rPr>
          <w:rFonts w:hint="eastAsia" w:ascii="仿宋" w:hAnsi="仿宋" w:eastAsia="仿宋"/>
          <w:color w:val="auto"/>
          <w:sz w:val="32"/>
          <w:szCs w:val="32"/>
          <w:highlight w:val="none"/>
        </w:rPr>
        <w:t>财政拨款</w:t>
      </w:r>
      <w:r>
        <w:rPr>
          <w:rFonts w:hint="eastAsia" w:ascii="仿宋" w:hAnsi="仿宋" w:eastAsia="仿宋"/>
          <w:color w:val="auto"/>
          <w:sz w:val="32"/>
          <w:szCs w:val="32"/>
          <w:highlight w:val="none"/>
          <w:lang w:eastAsia="zh-CN"/>
        </w:rPr>
        <w:t>收入增加</w:t>
      </w:r>
      <w:r>
        <w:rPr>
          <w:rFonts w:hint="eastAsia" w:ascii="仿宋" w:hAnsi="仿宋" w:eastAsia="仿宋"/>
          <w:color w:val="auto"/>
          <w:sz w:val="32"/>
          <w:szCs w:val="32"/>
          <w:highlight w:val="none"/>
          <w:lang w:val="en-US" w:eastAsia="zh-CN"/>
        </w:rPr>
        <w:t>8493.61万元，增长75.37%，</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一般公共预算财政拨款收入增加1949.39万元，政府性基金预算财政拨款收入增加6544.22万元。</w:t>
      </w:r>
    </w:p>
    <w:p>
      <w:pPr>
        <w:pageBreakBefore w:val="0"/>
        <w:kinsoku/>
        <w:wordWrap/>
        <w:overflowPunct/>
        <w:topLinePunct w:val="0"/>
        <w:bidi w:val="0"/>
        <w:spacing w:line="570" w:lineRule="exact"/>
        <w:ind w:firstLine="640" w:firstLineChars="200"/>
        <w:rPr>
          <w:rFonts w:ascii="仿宋" w:hAnsi="仿宋" w:eastAsia="仿宋"/>
          <w:color w:val="auto"/>
          <w:sz w:val="32"/>
          <w:szCs w:val="32"/>
          <w:highlight w:val="none"/>
          <w:shd w:val="pct10" w:color="auto" w:fill="FFFFFF"/>
        </w:rPr>
      </w:pPr>
      <w:r>
        <w:rPr>
          <w:rFonts w:hint="eastAsia" w:ascii="仿宋" w:hAnsi="仿宋" w:eastAsia="仿宋"/>
          <w:color w:val="auto"/>
          <w:sz w:val="32"/>
          <w:szCs w:val="32"/>
          <w:highlight w:val="none"/>
          <w:lang w:eastAsia="zh-CN"/>
        </w:rPr>
        <w:t>本年</w:t>
      </w:r>
      <w:r>
        <w:rPr>
          <w:rFonts w:hint="eastAsia" w:ascii="仿宋" w:hAnsi="仿宋" w:eastAsia="仿宋"/>
          <w:color w:val="auto"/>
          <w:sz w:val="32"/>
          <w:szCs w:val="32"/>
          <w:highlight w:val="none"/>
        </w:rPr>
        <w:t>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18624.26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与2017年相比，本年</w:t>
      </w:r>
      <w:r>
        <w:rPr>
          <w:rFonts w:hint="eastAsia" w:ascii="仿宋" w:hAnsi="仿宋" w:eastAsia="仿宋"/>
          <w:color w:val="auto"/>
          <w:sz w:val="32"/>
          <w:szCs w:val="32"/>
          <w:highlight w:val="none"/>
          <w:lang w:val="en-US" w:eastAsia="zh-CN"/>
        </w:rPr>
        <w:t>支出增加15345.53万元，增长468.09%</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城乡社区、交通运输、资源勘探信息等支出分别增加9420.51万元、4937.01万元、1001.24万元。</w:t>
      </w:r>
    </w:p>
    <w:p>
      <w:pPr>
        <w:pageBreakBefore w:val="0"/>
        <w:kinsoku/>
        <w:wordWrap/>
        <w:overflowPunct/>
        <w:topLinePunct w:val="0"/>
        <w:bidi w:val="0"/>
        <w:spacing w:line="570" w:lineRule="exact"/>
        <w:ind w:firstLine="640" w:firstLineChars="200"/>
        <w:rPr>
          <w:rFonts w:hint="eastAsia"/>
        </w:rPr>
      </w:pPr>
      <w:r>
        <w:rPr>
          <w:rFonts w:hint="eastAsia" w:ascii="仿宋" w:hAnsi="仿宋" w:eastAsia="仿宋"/>
          <w:color w:val="auto"/>
          <w:sz w:val="32"/>
          <w:szCs w:val="32"/>
          <w:highlight w:val="none"/>
        </w:rPr>
        <w:t>（图4：财政拨款收、支决算总计变动情况）（柱状图）</w:t>
      </w:r>
    </w:p>
    <w:p>
      <w:pPr>
        <w:jc w:val="center"/>
        <w:rPr>
          <w:rFonts w:ascii="仿宋" w:hAnsi="仿宋" w:eastAsia="仿宋"/>
          <w:b/>
          <w:color w:val="auto"/>
          <w:sz w:val="32"/>
          <w:szCs w:val="32"/>
          <w:highlight w:val="none"/>
        </w:rPr>
      </w:pPr>
      <w:r>
        <w:drawing>
          <wp:inline distT="0" distB="0" distL="114300" distR="114300">
            <wp:extent cx="4572000" cy="2743200"/>
            <wp:effectExtent l="4445" t="4445" r="10795" b="10795"/>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ageBreakBefore w:val="0"/>
        <w:kinsoku/>
        <w:wordWrap/>
        <w:overflowPunct/>
        <w:topLinePunct w:val="0"/>
        <w:bidi w:val="0"/>
        <w:spacing w:line="570" w:lineRule="exact"/>
        <w:ind w:firstLine="640" w:firstLineChars="200"/>
        <w:outlineLvl w:val="1"/>
        <w:rPr>
          <w:rStyle w:val="27"/>
          <w:rFonts w:ascii="黑体" w:hAnsi="黑体" w:eastAsia="黑体"/>
          <w:b w:val="0"/>
          <w:color w:val="auto"/>
          <w:highlight w:val="none"/>
        </w:rPr>
      </w:pPr>
      <w:bookmarkStart w:id="28" w:name="_Toc15377209"/>
      <w:bookmarkStart w:id="29" w:name="_Toc2715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28"/>
      <w:bookmarkEnd w:id="29"/>
    </w:p>
    <w:p>
      <w:pPr>
        <w:pageBreakBefore w:val="0"/>
        <w:kinsoku/>
        <w:wordWrap/>
        <w:overflowPunct/>
        <w:topLinePunct w:val="0"/>
        <w:bidi w:val="0"/>
        <w:spacing w:line="570" w:lineRule="exact"/>
        <w:ind w:firstLine="643" w:firstLineChars="200"/>
        <w:outlineLvl w:val="2"/>
        <w:rPr>
          <w:rFonts w:ascii="仿宋" w:hAnsi="仿宋" w:eastAsia="仿宋"/>
          <w:b/>
          <w:color w:val="auto"/>
          <w:sz w:val="32"/>
          <w:szCs w:val="32"/>
          <w:highlight w:val="none"/>
        </w:rPr>
      </w:pPr>
      <w:bookmarkStart w:id="30" w:name="_Toc15377210"/>
      <w:r>
        <w:rPr>
          <w:rFonts w:hint="eastAsia" w:ascii="仿宋" w:hAnsi="仿宋" w:eastAsia="仿宋"/>
          <w:b/>
          <w:color w:val="auto"/>
          <w:sz w:val="32"/>
          <w:szCs w:val="32"/>
          <w:highlight w:val="none"/>
        </w:rPr>
        <w:t>（一）一般公共预算财政拨款支出决算总体情况</w:t>
      </w:r>
      <w:bookmarkEnd w:id="30"/>
    </w:p>
    <w:p>
      <w:pPr>
        <w:pageBreakBefore w:val="0"/>
        <w:kinsoku/>
        <w:wordWrap/>
        <w:overflowPunct/>
        <w:topLinePunct w:val="0"/>
        <w:bidi w:val="0"/>
        <w:spacing w:line="570" w:lineRule="exact"/>
        <w:ind w:firstLine="640" w:firstLineChars="20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201</w:t>
      </w:r>
      <w:r>
        <w:rPr>
          <w:rFonts w:hint="eastAsia" w:ascii="仿宋" w:hAnsi="仿宋" w:eastAsia="仿宋"/>
          <w:color w:val="auto"/>
          <w:sz w:val="32"/>
          <w:szCs w:val="32"/>
          <w:highlight w:val="none"/>
        </w:rPr>
        <w:t>8年一般公共预算财政拨款支出</w:t>
      </w:r>
      <w:r>
        <w:rPr>
          <w:rFonts w:hint="eastAsia" w:ascii="仿宋" w:hAnsi="仿宋" w:eastAsia="仿宋"/>
          <w:color w:val="auto"/>
          <w:sz w:val="32"/>
          <w:szCs w:val="32"/>
          <w:highlight w:val="none"/>
          <w:lang w:val="en-US" w:eastAsia="zh-CN"/>
        </w:rPr>
        <w:t>10189.42</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54.71</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201</w:t>
      </w:r>
      <w:r>
        <w:rPr>
          <w:rFonts w:hint="eastAsia" w:ascii="仿宋" w:hAnsi="仿宋" w:eastAsia="仿宋"/>
          <w:color w:val="auto"/>
          <w:sz w:val="32"/>
          <w:szCs w:val="32"/>
          <w:highlight w:val="none"/>
        </w:rPr>
        <w:t>7年相比，一般公共预算财政拨款增加</w:t>
      </w:r>
      <w:r>
        <w:rPr>
          <w:rFonts w:hint="eastAsia" w:ascii="仿宋" w:hAnsi="仿宋" w:eastAsia="仿宋"/>
          <w:color w:val="auto"/>
          <w:sz w:val="32"/>
          <w:szCs w:val="32"/>
          <w:highlight w:val="none"/>
          <w:lang w:val="en-US" w:eastAsia="zh-CN"/>
        </w:rPr>
        <w:t>9160.37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890.15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：项目支出较</w:t>
      </w:r>
      <w:r>
        <w:rPr>
          <w:rFonts w:hint="eastAsia" w:ascii="仿宋" w:hAnsi="仿宋" w:eastAsia="仿宋"/>
          <w:color w:val="auto"/>
          <w:sz w:val="32"/>
          <w:szCs w:val="32"/>
          <w:highlight w:val="none"/>
          <w:lang w:val="en-US" w:eastAsia="zh-CN"/>
        </w:rPr>
        <w:t>2017年增加9148.79万元。</w:t>
      </w:r>
    </w:p>
    <w:p>
      <w:pPr>
        <w:pageBreakBefore w:val="0"/>
        <w:kinsoku/>
        <w:wordWrap/>
        <w:overflowPunct/>
        <w:topLinePunct w:val="0"/>
        <w:bidi w:val="0"/>
        <w:spacing w:line="570" w:lineRule="exact"/>
        <w:ind w:firstLine="640" w:firstLineChars="200"/>
        <w:rPr>
          <w:rFonts w:hint="eastAsia"/>
        </w:rPr>
      </w:pPr>
      <w:r>
        <w:rPr>
          <w:rFonts w:hint="eastAsia" w:ascii="仿宋" w:hAnsi="仿宋" w:eastAsia="仿宋"/>
          <w:color w:val="auto"/>
          <w:sz w:val="32"/>
          <w:szCs w:val="32"/>
          <w:highlight w:val="none"/>
        </w:rPr>
        <w:t>（图5：一般公共预算财政拨款支出决算变动情况）（柱状图）</w:t>
      </w: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ind w:left="0" w:leftChars="0" w:firstLine="0" w:firstLineChars="0"/>
        <w:rPr>
          <w:rFonts w:hint="eastAsia"/>
        </w:rPr>
      </w:pPr>
    </w:p>
    <w:p>
      <w:pPr>
        <w:pStyle w:val="2"/>
        <w:pageBreakBefore w:val="0"/>
        <w:kinsoku/>
        <w:wordWrap/>
        <w:overflowPunct/>
        <w:topLinePunct w:val="0"/>
        <w:bidi w:val="0"/>
        <w:spacing w:line="570" w:lineRule="exact"/>
        <w:rPr>
          <w:rFonts w:hint="eastAsia" w:ascii="仿宋" w:hAnsi="仿宋" w:eastAsia="仿宋"/>
          <w:b/>
          <w:color w:val="auto"/>
          <w:sz w:val="32"/>
          <w:szCs w:val="32"/>
          <w:highlight w:val="none"/>
        </w:rPr>
      </w:pPr>
      <w:r>
        <w:drawing>
          <wp:anchor distT="0" distB="0" distL="114300" distR="114300" simplePos="0" relativeHeight="251661312" behindDoc="0" locked="0" layoutInCell="1" allowOverlap="1">
            <wp:simplePos x="0" y="0"/>
            <wp:positionH relativeFrom="column">
              <wp:posOffset>271145</wp:posOffset>
            </wp:positionH>
            <wp:positionV relativeFrom="paragraph">
              <wp:posOffset>-2464435</wp:posOffset>
            </wp:positionV>
            <wp:extent cx="4572000" cy="2743200"/>
            <wp:effectExtent l="4445" t="4445" r="10795" b="10795"/>
            <wp:wrapNone/>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31" w:name="_Toc15377211"/>
    </w:p>
    <w:p>
      <w:pPr>
        <w:pageBreakBefore w:val="0"/>
        <w:kinsoku/>
        <w:wordWrap/>
        <w:overflowPunct/>
        <w:topLinePunct w:val="0"/>
        <w:bidi w:val="0"/>
        <w:spacing w:line="57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bookmarkEnd w:id="31"/>
    </w:p>
    <w:p>
      <w:pPr>
        <w:pageBreakBefore w:val="0"/>
        <w:kinsoku/>
        <w:wordWrap/>
        <w:overflowPunct/>
        <w:topLinePunct w:val="0"/>
        <w:bidi w:val="0"/>
        <w:spacing w:line="570" w:lineRule="exact"/>
        <w:ind w:firstLine="64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201</w:t>
      </w:r>
      <w:r>
        <w:rPr>
          <w:rFonts w:hint="eastAsia" w:ascii="仿宋" w:hAnsi="仿宋" w:eastAsia="仿宋"/>
          <w:color w:val="auto"/>
          <w:sz w:val="32"/>
          <w:szCs w:val="32"/>
          <w:highlight w:val="none"/>
        </w:rPr>
        <w:t>8年一般公共预算财政拨款支出</w:t>
      </w:r>
      <w:r>
        <w:rPr>
          <w:rFonts w:hint="eastAsia" w:ascii="仿宋" w:hAnsi="仿宋" w:eastAsia="仿宋"/>
          <w:color w:val="auto"/>
          <w:sz w:val="32"/>
          <w:szCs w:val="32"/>
          <w:highlight w:val="none"/>
          <w:lang w:val="en-US" w:eastAsia="zh-CN"/>
        </w:rPr>
        <w:t>10189.42</w:t>
      </w:r>
      <w:r>
        <w:rPr>
          <w:rFonts w:hint="eastAsia" w:ascii="仿宋" w:hAnsi="仿宋" w:eastAsia="仿宋"/>
          <w:color w:val="auto"/>
          <w:sz w:val="32"/>
          <w:szCs w:val="32"/>
          <w:highlight w:val="none"/>
        </w:rPr>
        <w:t>万元，主要用于以下方面:一般公共服务（类）支出</w:t>
      </w:r>
      <w:r>
        <w:rPr>
          <w:rFonts w:hint="eastAsia" w:ascii="仿宋" w:hAnsi="仿宋" w:eastAsia="仿宋"/>
          <w:color w:val="auto"/>
          <w:sz w:val="32"/>
          <w:szCs w:val="32"/>
          <w:highlight w:val="none"/>
          <w:lang w:val="en-US" w:eastAsia="zh-CN"/>
        </w:rPr>
        <w:t>1.44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0.01</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社会保障和就业支出</w:t>
      </w:r>
      <w:r>
        <w:rPr>
          <w:rFonts w:hint="eastAsia" w:ascii="仿宋" w:hAnsi="仿宋" w:eastAsia="仿宋"/>
          <w:color w:val="auto"/>
          <w:sz w:val="32"/>
          <w:szCs w:val="32"/>
          <w:highlight w:val="none"/>
          <w:lang w:val="en-US" w:eastAsia="zh-CN"/>
        </w:rPr>
        <w:t>114.35万元，占1.12%；医疗卫生与计划生育支出28.53万元，占0.28%；节能环保支出20万元，占0.2%；城乡社区支出4046.42万元，占39.71%；交通运输支出4937.01万元，占48.45%；资源勘探信息等支出1001.24万元，占9.83%；商品服务业等支出5.16万元，占0.05%；住房保障支出35.6万元，占0.35%。</w:t>
      </w:r>
    </w:p>
    <w:p>
      <w:pPr>
        <w:pageBreakBefore w:val="0"/>
        <w:kinsoku/>
        <w:wordWrap/>
        <w:overflowPunct/>
        <w:topLinePunct w:val="0"/>
        <w:bidi w:val="0"/>
        <w:spacing w:line="57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2"/>
      </w:pPr>
    </w:p>
    <w:p>
      <w:pPr>
        <w:pStyle w:val="2"/>
        <w:pageBreakBefore w:val="0"/>
        <w:kinsoku/>
        <w:wordWrap/>
        <w:overflowPunct/>
        <w:topLinePunct w:val="0"/>
        <w:bidi w:val="0"/>
        <w:spacing w:line="570" w:lineRule="exact"/>
      </w:pPr>
      <w:r>
        <w:drawing>
          <wp:anchor distT="0" distB="0" distL="114300" distR="114300" simplePos="0" relativeHeight="251662336" behindDoc="0" locked="0" layoutInCell="1" allowOverlap="1">
            <wp:simplePos x="0" y="0"/>
            <wp:positionH relativeFrom="column">
              <wp:posOffset>271145</wp:posOffset>
            </wp:positionH>
            <wp:positionV relativeFrom="paragraph">
              <wp:posOffset>-2464435</wp:posOffset>
            </wp:positionV>
            <wp:extent cx="4572000" cy="2743200"/>
            <wp:effectExtent l="4445" t="4445" r="10795" b="10795"/>
            <wp:wrapNone/>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ageBreakBefore w:val="0"/>
        <w:kinsoku/>
        <w:wordWrap/>
        <w:overflowPunct/>
        <w:topLinePunct w:val="0"/>
        <w:bidi w:val="0"/>
        <w:spacing w:line="570" w:lineRule="exact"/>
        <w:ind w:firstLine="643" w:firstLineChars="200"/>
        <w:outlineLvl w:val="2"/>
        <w:rPr>
          <w:rFonts w:ascii="仿宋" w:hAnsi="仿宋" w:eastAsia="仿宋"/>
          <w:b/>
          <w:color w:val="auto"/>
          <w:sz w:val="32"/>
          <w:szCs w:val="32"/>
          <w:highlight w:val="none"/>
        </w:rPr>
      </w:pPr>
      <w:bookmarkStart w:id="32" w:name="_Toc15377212"/>
      <w:r>
        <w:rPr>
          <w:rFonts w:hint="eastAsia" w:ascii="仿宋" w:hAnsi="仿宋" w:eastAsia="仿宋"/>
          <w:b/>
          <w:color w:val="auto"/>
          <w:sz w:val="32"/>
          <w:szCs w:val="32"/>
          <w:highlight w:val="none"/>
        </w:rPr>
        <w:t>（三）一般公共预算财政拨款支出决算具体情况</w:t>
      </w:r>
      <w:bookmarkEnd w:id="32"/>
    </w:p>
    <w:p>
      <w:pPr>
        <w:pageBreakBefore w:val="0"/>
        <w:kinsoku/>
        <w:wordWrap/>
        <w:overflowPunct/>
        <w:topLinePunct w:val="0"/>
        <w:bidi w:val="0"/>
        <w:spacing w:line="570" w:lineRule="exact"/>
        <w:ind w:firstLine="643" w:firstLineChars="200"/>
        <w:outlineLvl w:val="2"/>
        <w:rPr>
          <w:rFonts w:ascii="仿宋" w:hAnsi="仿宋" w:eastAsia="仿宋"/>
          <w:color w:val="auto"/>
          <w:sz w:val="32"/>
          <w:szCs w:val="32"/>
          <w:highlight w:val="none"/>
        </w:rPr>
      </w:pPr>
      <w:bookmarkStart w:id="33" w:name="_Toc15378460"/>
      <w:bookmarkStart w:id="34" w:name="_Toc15377213"/>
      <w:bookmarkStart w:id="35" w:name="_Toc15377444"/>
      <w:r>
        <w:rPr>
          <w:rFonts w:hint="eastAsia" w:ascii="仿宋" w:hAnsi="仿宋" w:eastAsia="仿宋"/>
          <w:b/>
          <w:color w:val="auto"/>
          <w:sz w:val="32"/>
          <w:szCs w:val="32"/>
          <w:highlight w:val="none"/>
        </w:rPr>
        <w:t>2018年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10189.42万元</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33"/>
      <w:bookmarkEnd w:id="34"/>
      <w:bookmarkEnd w:id="35"/>
    </w:p>
    <w:p>
      <w:pPr>
        <w:pageBreakBefore w:val="0"/>
        <w:kinsoku/>
        <w:wordWrap/>
        <w:overflowPunct/>
        <w:topLinePunct w:val="0"/>
        <w:bidi w:val="0"/>
        <w:spacing w:line="570" w:lineRule="exact"/>
        <w:ind w:firstLine="643" w:firstLineChars="200"/>
        <w:rPr>
          <w:rFonts w:hint="eastAsia" w:eastAsia="仿宋_GB2312"/>
          <w:color w:val="000000"/>
          <w:sz w:val="32"/>
          <w:szCs w:val="32"/>
        </w:rPr>
      </w:pPr>
      <w:r>
        <w:rPr>
          <w:rStyle w:val="16"/>
          <w:rFonts w:ascii="仿宋" w:hAnsi="仿宋" w:eastAsia="仿宋"/>
          <w:bCs/>
          <w:color w:val="auto"/>
          <w:sz w:val="32"/>
          <w:szCs w:val="32"/>
          <w:highlight w:val="none"/>
        </w:rPr>
        <w:t>1.</w:t>
      </w:r>
      <w:r>
        <w:rPr>
          <w:rFonts w:eastAsia="仿宋_GB2312"/>
          <w:color w:val="000000"/>
          <w:sz w:val="32"/>
          <w:szCs w:val="32"/>
        </w:rPr>
        <w:t>一般公共服务（类）组织事务（款）其他组织事务（项）: 支出决算为1.44万元，完成预算100%。</w:t>
      </w:r>
    </w:p>
    <w:p>
      <w:pPr>
        <w:pageBreakBefore w:val="0"/>
        <w:kinsoku/>
        <w:wordWrap/>
        <w:overflowPunct/>
        <w:topLinePunct w:val="0"/>
        <w:bidi w:val="0"/>
        <w:spacing w:line="570" w:lineRule="exact"/>
        <w:ind w:firstLine="640" w:firstLineChars="200"/>
        <w:rPr>
          <w:rFonts w:eastAsia="仿宋_GB2312"/>
          <w:color w:val="000000"/>
          <w:sz w:val="32"/>
          <w:szCs w:val="32"/>
        </w:rPr>
      </w:pPr>
      <w:r>
        <w:rPr>
          <w:rFonts w:hint="eastAsia" w:eastAsia="仿宋_GB2312"/>
          <w:color w:val="000000"/>
          <w:sz w:val="32"/>
          <w:szCs w:val="32"/>
          <w:lang w:val="en-US" w:eastAsia="zh-CN"/>
        </w:rPr>
        <w:t>2.</w:t>
      </w:r>
      <w:r>
        <w:rPr>
          <w:rFonts w:eastAsia="仿宋_GB2312"/>
          <w:color w:val="000000"/>
          <w:sz w:val="32"/>
          <w:szCs w:val="32"/>
        </w:rPr>
        <w:t>社会保障和就业（类）</w:t>
      </w:r>
    </w:p>
    <w:p>
      <w:pPr>
        <w:pageBreakBefore w:val="0"/>
        <w:kinsoku/>
        <w:wordWrap/>
        <w:overflowPunct/>
        <w:topLinePunct w:val="0"/>
        <w:bidi w:val="0"/>
        <w:spacing w:line="570" w:lineRule="exact"/>
        <w:ind w:firstLine="640" w:firstLineChars="200"/>
        <w:rPr>
          <w:rFonts w:eastAsia="仿宋_GB2312"/>
          <w:color w:val="000000"/>
          <w:sz w:val="32"/>
          <w:szCs w:val="32"/>
        </w:rPr>
      </w:pPr>
      <w:r>
        <w:rPr>
          <w:rFonts w:eastAsia="仿宋_GB2312"/>
          <w:color w:val="000000"/>
          <w:sz w:val="32"/>
          <w:szCs w:val="32"/>
        </w:rPr>
        <w:t>（1）行政事业单位离退休（款）归口管理的行政单位离退休（项）:支出决算</w:t>
      </w:r>
      <w:r>
        <w:rPr>
          <w:rFonts w:hint="eastAsia" w:eastAsia="仿宋_GB2312"/>
          <w:color w:val="000000"/>
          <w:sz w:val="32"/>
          <w:szCs w:val="32"/>
          <w:lang w:val="en-US" w:eastAsia="zh-CN"/>
        </w:rPr>
        <w:t>50.35</w:t>
      </w:r>
      <w:r>
        <w:rPr>
          <w:rFonts w:eastAsia="仿宋_GB2312"/>
          <w:color w:val="000000"/>
          <w:sz w:val="32"/>
          <w:szCs w:val="32"/>
        </w:rPr>
        <w:t>万元，完成预算100%。</w:t>
      </w:r>
    </w:p>
    <w:p>
      <w:pPr>
        <w:pageBreakBefore w:val="0"/>
        <w:kinsoku/>
        <w:wordWrap/>
        <w:overflowPunct/>
        <w:topLinePunct w:val="0"/>
        <w:bidi w:val="0"/>
        <w:spacing w:line="570" w:lineRule="exact"/>
        <w:ind w:firstLine="640" w:firstLineChars="200"/>
        <w:rPr>
          <w:rStyle w:val="16"/>
          <w:rFonts w:eastAsia="仿宋_GB2312"/>
          <w:b w:val="0"/>
          <w:bCs w:val="0"/>
          <w:color w:val="000000"/>
          <w:sz w:val="32"/>
          <w:szCs w:val="32"/>
        </w:rPr>
      </w:pPr>
      <w:r>
        <w:rPr>
          <w:rFonts w:eastAsia="仿宋_GB2312"/>
          <w:color w:val="000000"/>
          <w:sz w:val="32"/>
          <w:szCs w:val="32"/>
        </w:rPr>
        <w:t>（2）</w:t>
      </w:r>
      <w:r>
        <w:rPr>
          <w:rStyle w:val="16"/>
          <w:rFonts w:eastAsia="仿宋_GB2312"/>
          <w:b w:val="0"/>
          <w:bCs w:val="0"/>
          <w:color w:val="000000"/>
          <w:sz w:val="32"/>
          <w:szCs w:val="32"/>
        </w:rPr>
        <w:t>行政事业单位离退休（款）机关事业单位基本养老保险缴费支出（项）：支出决算</w:t>
      </w:r>
      <w:r>
        <w:rPr>
          <w:rStyle w:val="16"/>
          <w:rFonts w:hint="eastAsia" w:eastAsia="仿宋_GB2312"/>
          <w:b w:val="0"/>
          <w:bCs w:val="0"/>
          <w:color w:val="000000"/>
          <w:sz w:val="32"/>
          <w:szCs w:val="32"/>
          <w:lang w:val="en-US" w:eastAsia="zh-CN"/>
        </w:rPr>
        <w:t>59.4</w:t>
      </w:r>
      <w:r>
        <w:rPr>
          <w:rStyle w:val="16"/>
          <w:rFonts w:eastAsia="仿宋_GB2312"/>
          <w:b w:val="0"/>
          <w:bCs w:val="0"/>
          <w:color w:val="000000"/>
          <w:sz w:val="32"/>
          <w:szCs w:val="32"/>
        </w:rPr>
        <w:t>万元，完成预算100%。</w:t>
      </w:r>
    </w:p>
    <w:p>
      <w:pPr>
        <w:pageBreakBefore w:val="0"/>
        <w:kinsoku/>
        <w:wordWrap/>
        <w:overflowPunct/>
        <w:topLinePunct w:val="0"/>
        <w:bidi w:val="0"/>
        <w:spacing w:line="570" w:lineRule="exact"/>
        <w:ind w:firstLine="640" w:firstLineChars="200"/>
        <w:rPr>
          <w:rStyle w:val="16"/>
          <w:rFonts w:eastAsia="仿宋_GB2312"/>
          <w:b w:val="0"/>
          <w:bCs w:val="0"/>
          <w:color w:val="000000"/>
          <w:sz w:val="32"/>
          <w:szCs w:val="32"/>
        </w:rPr>
      </w:pPr>
      <w:r>
        <w:rPr>
          <w:rFonts w:eastAsia="仿宋_GB2312"/>
          <w:color w:val="000000"/>
          <w:sz w:val="32"/>
          <w:szCs w:val="32"/>
        </w:rPr>
        <w:t>（3）</w:t>
      </w:r>
      <w:r>
        <w:rPr>
          <w:rStyle w:val="16"/>
          <w:rFonts w:eastAsia="仿宋_GB2312"/>
          <w:b w:val="0"/>
          <w:bCs w:val="0"/>
          <w:color w:val="000000"/>
          <w:sz w:val="32"/>
          <w:szCs w:val="32"/>
        </w:rPr>
        <w:t>行政事业单位离退休（款）机关事业单位职业年金缴费支出（项）：支出决算</w:t>
      </w:r>
      <w:r>
        <w:rPr>
          <w:rStyle w:val="16"/>
          <w:rFonts w:hint="eastAsia" w:eastAsia="仿宋_GB2312"/>
          <w:b w:val="0"/>
          <w:bCs w:val="0"/>
          <w:color w:val="000000"/>
          <w:sz w:val="32"/>
          <w:szCs w:val="32"/>
          <w:lang w:val="en-US" w:eastAsia="zh-CN"/>
        </w:rPr>
        <w:t>4.6</w:t>
      </w:r>
      <w:r>
        <w:rPr>
          <w:rStyle w:val="16"/>
          <w:rFonts w:eastAsia="仿宋_GB2312"/>
          <w:b w:val="0"/>
          <w:bCs w:val="0"/>
          <w:color w:val="000000"/>
          <w:sz w:val="32"/>
          <w:szCs w:val="32"/>
        </w:rPr>
        <w:t>万元，完成预算100%。</w:t>
      </w:r>
    </w:p>
    <w:p>
      <w:pPr>
        <w:pageBreakBefore w:val="0"/>
        <w:kinsoku/>
        <w:wordWrap/>
        <w:overflowPunct/>
        <w:topLinePunct w:val="0"/>
        <w:bidi w:val="0"/>
        <w:spacing w:line="57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3.</w:t>
      </w:r>
      <w:r>
        <w:rPr>
          <w:rStyle w:val="16"/>
          <w:rFonts w:hAnsi="仿宋" w:eastAsia="仿宋"/>
          <w:b w:val="0"/>
          <w:color w:val="000000"/>
          <w:sz w:val="32"/>
          <w:szCs w:val="32"/>
        </w:rPr>
        <w:t>医疗卫生与计划生育（类）行政事业单位医疗（款）</w:t>
      </w:r>
      <w:r>
        <w:rPr>
          <w:rStyle w:val="16"/>
          <w:rFonts w:eastAsia="仿宋"/>
          <w:b w:val="0"/>
          <w:color w:val="000000"/>
          <w:sz w:val="32"/>
          <w:szCs w:val="32"/>
        </w:rPr>
        <w:t xml:space="preserve">  </w:t>
      </w:r>
      <w:r>
        <w:rPr>
          <w:rStyle w:val="16"/>
          <w:rFonts w:hAnsi="仿宋" w:eastAsia="仿宋"/>
          <w:b w:val="0"/>
          <w:color w:val="000000"/>
          <w:sz w:val="32"/>
          <w:szCs w:val="32"/>
        </w:rPr>
        <w:t>行政单位医疗（项）</w:t>
      </w:r>
      <w:r>
        <w:rPr>
          <w:rStyle w:val="16"/>
          <w:rFonts w:eastAsia="仿宋"/>
          <w:b w:val="0"/>
          <w:color w:val="000000"/>
          <w:sz w:val="32"/>
          <w:szCs w:val="32"/>
        </w:rPr>
        <w:t>:</w:t>
      </w:r>
      <w:r>
        <w:rPr>
          <w:rStyle w:val="16"/>
          <w:rFonts w:eastAsia="仿宋_GB2312"/>
          <w:b w:val="0"/>
          <w:color w:val="000000"/>
          <w:sz w:val="32"/>
          <w:szCs w:val="32"/>
        </w:rPr>
        <w:t>支出决算</w:t>
      </w:r>
      <w:r>
        <w:rPr>
          <w:rStyle w:val="16"/>
          <w:rFonts w:hint="eastAsia" w:eastAsia="仿宋_GB2312"/>
          <w:b w:val="0"/>
          <w:color w:val="000000"/>
          <w:sz w:val="32"/>
          <w:szCs w:val="32"/>
          <w:lang w:val="en-US" w:eastAsia="zh-CN"/>
        </w:rPr>
        <w:t>28.2</w:t>
      </w:r>
      <w:r>
        <w:rPr>
          <w:rStyle w:val="16"/>
          <w:rFonts w:eastAsia="仿宋_GB2312"/>
          <w:b w:val="0"/>
          <w:color w:val="000000"/>
          <w:sz w:val="32"/>
          <w:szCs w:val="32"/>
        </w:rPr>
        <w:t>万元，完成预算100%。</w:t>
      </w:r>
    </w:p>
    <w:p>
      <w:pPr>
        <w:pageBreakBefore w:val="0"/>
        <w:kinsoku/>
        <w:wordWrap/>
        <w:overflowPunct/>
        <w:topLinePunct w:val="0"/>
        <w:bidi w:val="0"/>
        <w:spacing w:line="570" w:lineRule="exact"/>
        <w:ind w:firstLine="640" w:firstLineChars="200"/>
        <w:rPr>
          <w:rFonts w:hint="eastAsia" w:ascii="仿宋" w:hAnsi="仿宋" w:eastAsia="仿宋"/>
          <w:color w:val="auto"/>
          <w:sz w:val="32"/>
          <w:szCs w:val="32"/>
          <w:highlight w:val="none"/>
          <w:lang w:val="en-US" w:eastAsia="zh-CN"/>
        </w:rPr>
      </w:pPr>
      <w:r>
        <w:rPr>
          <w:rFonts w:eastAsia="仿宋_GB2312"/>
          <w:color w:val="000000"/>
          <w:sz w:val="32"/>
          <w:szCs w:val="32"/>
        </w:rPr>
        <w:t>4.节能环保支出（类）可再生能源（款）可再生能源（项）：支出决算</w:t>
      </w:r>
      <w:r>
        <w:rPr>
          <w:rFonts w:hint="eastAsia" w:eastAsia="仿宋_GB2312"/>
          <w:color w:val="000000"/>
          <w:sz w:val="32"/>
          <w:szCs w:val="32"/>
          <w:lang w:val="en-US" w:eastAsia="zh-CN"/>
        </w:rPr>
        <w:t>20</w:t>
      </w:r>
      <w:r>
        <w:rPr>
          <w:rFonts w:eastAsia="仿宋_GB2312"/>
          <w:color w:val="000000"/>
          <w:sz w:val="32"/>
          <w:szCs w:val="32"/>
        </w:rPr>
        <w:t>万元，完成预算100%。</w:t>
      </w:r>
    </w:p>
    <w:p>
      <w:pPr>
        <w:pageBreakBefore w:val="0"/>
        <w:kinsoku/>
        <w:wordWrap/>
        <w:overflowPunct/>
        <w:topLinePunct w:val="0"/>
        <w:bidi w:val="0"/>
        <w:spacing w:line="570" w:lineRule="exact"/>
        <w:ind w:firstLine="645"/>
        <w:rPr>
          <w:rStyle w:val="16"/>
          <w:rFonts w:eastAsia="仿宋_GB2312"/>
          <w:b w:val="0"/>
          <w:bCs w:val="0"/>
          <w:color w:val="000000"/>
          <w:sz w:val="32"/>
          <w:szCs w:val="32"/>
        </w:rPr>
      </w:pPr>
      <w:r>
        <w:rPr>
          <w:rStyle w:val="16"/>
          <w:rFonts w:hint="eastAsia" w:eastAsia="仿宋_GB2312"/>
          <w:b w:val="0"/>
          <w:bCs w:val="0"/>
          <w:color w:val="000000"/>
          <w:sz w:val="32"/>
          <w:szCs w:val="32"/>
          <w:lang w:val="en-US" w:eastAsia="zh-CN"/>
        </w:rPr>
        <w:t>5.</w:t>
      </w:r>
      <w:r>
        <w:rPr>
          <w:rStyle w:val="16"/>
          <w:rFonts w:eastAsia="仿宋_GB2312"/>
          <w:b w:val="0"/>
          <w:bCs w:val="0"/>
          <w:color w:val="000000"/>
          <w:sz w:val="32"/>
          <w:szCs w:val="32"/>
        </w:rPr>
        <w:t>城乡社区支出（类）</w:t>
      </w:r>
    </w:p>
    <w:p>
      <w:pPr>
        <w:pageBreakBefore w:val="0"/>
        <w:kinsoku/>
        <w:wordWrap/>
        <w:overflowPunct/>
        <w:topLinePunct w:val="0"/>
        <w:bidi w:val="0"/>
        <w:spacing w:line="570" w:lineRule="exact"/>
        <w:ind w:firstLine="640" w:firstLineChars="200"/>
        <w:rPr>
          <w:rFonts w:eastAsia="仿宋_GB2312"/>
          <w:b/>
          <w:color w:val="0000FF"/>
          <w:sz w:val="32"/>
          <w:szCs w:val="32"/>
        </w:rPr>
      </w:pPr>
      <w:r>
        <w:rPr>
          <w:rStyle w:val="16"/>
          <w:rFonts w:eastAsia="仿宋_GB2312"/>
          <w:b w:val="0"/>
          <w:bCs w:val="0"/>
          <w:color w:val="000000"/>
          <w:sz w:val="32"/>
          <w:szCs w:val="32"/>
        </w:rPr>
        <w:t>（1）城乡社区管理事务（款）行政运行（项）:支出决算</w:t>
      </w:r>
      <w:r>
        <w:rPr>
          <w:rStyle w:val="16"/>
          <w:rFonts w:hint="eastAsia" w:eastAsia="仿宋_GB2312"/>
          <w:b w:val="0"/>
          <w:bCs w:val="0"/>
          <w:color w:val="000000"/>
          <w:sz w:val="32"/>
          <w:szCs w:val="32"/>
          <w:lang w:val="en-US" w:eastAsia="zh-CN"/>
        </w:rPr>
        <w:t>579.37</w:t>
      </w:r>
      <w:r>
        <w:rPr>
          <w:rStyle w:val="16"/>
          <w:rFonts w:eastAsia="仿宋_GB2312"/>
          <w:b w:val="0"/>
          <w:bCs w:val="0"/>
          <w:color w:val="000000"/>
          <w:sz w:val="32"/>
          <w:szCs w:val="32"/>
        </w:rPr>
        <w:t>万元，</w:t>
      </w:r>
      <w:r>
        <w:rPr>
          <w:rStyle w:val="16"/>
          <w:rFonts w:eastAsia="仿宋_GB2312"/>
          <w:b w:val="0"/>
          <w:color w:val="000000"/>
          <w:sz w:val="32"/>
          <w:szCs w:val="32"/>
        </w:rPr>
        <w:t>完成预算100%</w:t>
      </w:r>
      <w:r>
        <w:rPr>
          <w:rStyle w:val="16"/>
          <w:rFonts w:eastAsia="仿宋_GB2312"/>
          <w:b w:val="0"/>
          <w:color w:val="0000FF"/>
          <w:sz w:val="32"/>
          <w:szCs w:val="32"/>
        </w:rPr>
        <w:t>。</w:t>
      </w:r>
    </w:p>
    <w:p>
      <w:pPr>
        <w:pageBreakBefore w:val="0"/>
        <w:kinsoku/>
        <w:wordWrap/>
        <w:overflowPunct/>
        <w:topLinePunct w:val="0"/>
        <w:bidi w:val="0"/>
        <w:spacing w:line="570" w:lineRule="exact"/>
        <w:ind w:firstLine="645"/>
        <w:rPr>
          <w:rStyle w:val="16"/>
          <w:rFonts w:eastAsia="仿宋_GB2312"/>
          <w:b w:val="0"/>
          <w:bCs w:val="0"/>
          <w:color w:val="000000"/>
          <w:sz w:val="32"/>
          <w:szCs w:val="32"/>
        </w:rPr>
      </w:pPr>
      <w:r>
        <w:rPr>
          <w:rStyle w:val="16"/>
          <w:rFonts w:eastAsia="仿宋_GB2312"/>
          <w:b w:val="0"/>
          <w:bCs w:val="0"/>
          <w:color w:val="000000"/>
          <w:sz w:val="32"/>
          <w:szCs w:val="32"/>
        </w:rPr>
        <w:t>（2）城乡社区管理事务（款）一般行政管理事务（项）:支出决算</w:t>
      </w:r>
      <w:r>
        <w:rPr>
          <w:rStyle w:val="16"/>
          <w:rFonts w:hint="eastAsia" w:eastAsia="仿宋_GB2312"/>
          <w:b w:val="0"/>
          <w:bCs w:val="0"/>
          <w:color w:val="000000"/>
          <w:sz w:val="32"/>
          <w:szCs w:val="32"/>
          <w:lang w:val="en-US" w:eastAsia="zh-CN"/>
        </w:rPr>
        <w:t>2</w:t>
      </w:r>
      <w:r>
        <w:rPr>
          <w:rStyle w:val="16"/>
          <w:rFonts w:eastAsia="仿宋_GB2312"/>
          <w:b w:val="0"/>
          <w:bCs w:val="0"/>
          <w:color w:val="000000"/>
          <w:sz w:val="32"/>
          <w:szCs w:val="32"/>
        </w:rPr>
        <w:t>.30万元，完成预算100%。</w:t>
      </w:r>
    </w:p>
    <w:p>
      <w:pPr>
        <w:spacing w:line="600" w:lineRule="exact"/>
        <w:ind w:firstLine="645"/>
        <w:rPr>
          <w:rFonts w:hint="eastAsia" w:eastAsia="仿宋_GB2312"/>
          <w:color w:val="000000"/>
          <w:sz w:val="32"/>
          <w:szCs w:val="32"/>
          <w:lang w:eastAsia="zh-CN"/>
        </w:rPr>
      </w:pPr>
      <w:r>
        <w:rPr>
          <w:rStyle w:val="16"/>
          <w:rFonts w:eastAsia="仿宋_GB2312"/>
          <w:b w:val="0"/>
          <w:bCs w:val="0"/>
          <w:color w:val="000000"/>
          <w:sz w:val="32"/>
          <w:szCs w:val="32"/>
        </w:rPr>
        <w:t>（3）城乡社区管理事务（款）机关服务（项）:</w:t>
      </w:r>
      <w:r>
        <w:rPr>
          <w:rFonts w:eastAsia="仿宋_GB2312"/>
          <w:color w:val="000000"/>
          <w:sz w:val="32"/>
          <w:szCs w:val="32"/>
        </w:rPr>
        <w:t>支出决算</w:t>
      </w:r>
      <w:r>
        <w:rPr>
          <w:rFonts w:hint="eastAsia" w:eastAsia="仿宋_GB2312"/>
          <w:color w:val="000000"/>
          <w:sz w:val="32"/>
          <w:szCs w:val="32"/>
          <w:lang w:val="en-US" w:eastAsia="zh-CN"/>
        </w:rPr>
        <w:t>17.07</w:t>
      </w:r>
      <w:r>
        <w:rPr>
          <w:rFonts w:eastAsia="仿宋_GB2312"/>
          <w:color w:val="000000"/>
          <w:sz w:val="32"/>
          <w:szCs w:val="32"/>
        </w:rPr>
        <w:t>万元，完成预算</w:t>
      </w:r>
      <w:r>
        <w:rPr>
          <w:rFonts w:hint="eastAsia" w:eastAsia="仿宋_GB2312"/>
          <w:color w:val="000000"/>
          <w:sz w:val="32"/>
          <w:szCs w:val="32"/>
          <w:lang w:val="en-US" w:eastAsia="zh-CN"/>
        </w:rPr>
        <w:t>100</w:t>
      </w:r>
      <w:r>
        <w:rPr>
          <w:rFonts w:eastAsia="仿宋_GB2312"/>
          <w:color w:val="000000"/>
          <w:sz w:val="32"/>
          <w:szCs w:val="32"/>
        </w:rPr>
        <w:t>%</w:t>
      </w:r>
      <w:r>
        <w:rPr>
          <w:rFonts w:hint="eastAsia" w:eastAsia="仿宋_GB2312"/>
          <w:color w:val="000000"/>
          <w:sz w:val="32"/>
          <w:szCs w:val="32"/>
          <w:lang w:eastAsia="zh-CN"/>
        </w:rPr>
        <w:t>。</w:t>
      </w:r>
    </w:p>
    <w:p>
      <w:pPr>
        <w:spacing w:line="600" w:lineRule="exact"/>
        <w:ind w:firstLine="645"/>
        <w:rPr>
          <w:rStyle w:val="16"/>
          <w:rFonts w:eastAsia="仿宋_GB2312"/>
          <w:b w:val="0"/>
          <w:bCs w:val="0"/>
          <w:color w:val="000000"/>
          <w:sz w:val="32"/>
          <w:szCs w:val="32"/>
        </w:rPr>
      </w:pPr>
      <w:r>
        <w:rPr>
          <w:rStyle w:val="16"/>
          <w:rFonts w:eastAsia="仿宋_GB2312"/>
          <w:b w:val="0"/>
          <w:bCs w:val="0"/>
          <w:color w:val="000000"/>
          <w:sz w:val="32"/>
          <w:szCs w:val="32"/>
        </w:rPr>
        <w:t>（4）城乡社区管理事务（款）</w:t>
      </w:r>
      <w:r>
        <w:rPr>
          <w:rStyle w:val="16"/>
          <w:rFonts w:hint="eastAsia" w:eastAsia="仿宋_GB2312"/>
          <w:b w:val="0"/>
          <w:bCs w:val="0"/>
          <w:color w:val="000000"/>
          <w:sz w:val="32"/>
          <w:szCs w:val="32"/>
          <w:lang w:eastAsia="zh-CN"/>
        </w:rPr>
        <w:t>住宅建设与房地产市场监管</w:t>
      </w:r>
      <w:r>
        <w:rPr>
          <w:rStyle w:val="16"/>
          <w:rFonts w:eastAsia="仿宋_GB2312"/>
          <w:b w:val="0"/>
          <w:bCs w:val="0"/>
          <w:color w:val="000000"/>
          <w:sz w:val="32"/>
          <w:szCs w:val="32"/>
        </w:rPr>
        <w:t>（项）:支出决算</w:t>
      </w:r>
      <w:r>
        <w:rPr>
          <w:rStyle w:val="16"/>
          <w:rFonts w:hint="eastAsia" w:eastAsia="仿宋_GB2312"/>
          <w:b w:val="0"/>
          <w:bCs w:val="0"/>
          <w:color w:val="000000"/>
          <w:sz w:val="32"/>
          <w:szCs w:val="32"/>
          <w:lang w:val="en-US" w:eastAsia="zh-CN"/>
        </w:rPr>
        <w:t>4</w:t>
      </w:r>
      <w:r>
        <w:rPr>
          <w:rStyle w:val="16"/>
          <w:rFonts w:eastAsia="仿宋_GB2312"/>
          <w:b w:val="0"/>
          <w:bCs w:val="0"/>
          <w:color w:val="000000"/>
          <w:sz w:val="32"/>
          <w:szCs w:val="32"/>
        </w:rPr>
        <w:t>0.00万元，完成预算</w:t>
      </w:r>
      <w:r>
        <w:rPr>
          <w:rStyle w:val="16"/>
          <w:rFonts w:hint="eastAsia" w:eastAsia="仿宋_GB2312"/>
          <w:b w:val="0"/>
          <w:bCs w:val="0"/>
          <w:color w:val="000000"/>
          <w:sz w:val="32"/>
          <w:szCs w:val="32"/>
          <w:lang w:val="en-US" w:eastAsia="zh-CN"/>
        </w:rPr>
        <w:t>8</w:t>
      </w:r>
      <w:r>
        <w:rPr>
          <w:rStyle w:val="16"/>
          <w:rFonts w:eastAsia="仿宋_GB2312"/>
          <w:b w:val="0"/>
          <w:bCs w:val="0"/>
          <w:color w:val="000000"/>
          <w:sz w:val="32"/>
          <w:szCs w:val="32"/>
        </w:rPr>
        <w:t>0%</w:t>
      </w:r>
      <w:r>
        <w:rPr>
          <w:rFonts w:hint="eastAsia" w:eastAsia="仿宋_GB2312"/>
          <w:color w:val="000000"/>
          <w:sz w:val="32"/>
          <w:szCs w:val="32"/>
          <w:lang w:eastAsia="zh-CN"/>
        </w:rPr>
        <w:t>，主要原因是：项目未执行结束</w:t>
      </w:r>
      <w:r>
        <w:rPr>
          <w:rStyle w:val="16"/>
          <w:rFonts w:eastAsia="仿宋_GB2312"/>
          <w:b w:val="0"/>
          <w:bCs w:val="0"/>
          <w:color w:val="000000"/>
          <w:sz w:val="32"/>
          <w:szCs w:val="32"/>
        </w:rPr>
        <w:t>。</w:t>
      </w:r>
    </w:p>
    <w:p>
      <w:pPr>
        <w:spacing w:line="600" w:lineRule="exact"/>
        <w:ind w:firstLine="645"/>
        <w:rPr>
          <w:rStyle w:val="16"/>
          <w:rFonts w:eastAsia="仿宋_GB2312"/>
          <w:b w:val="0"/>
          <w:color w:val="0000FF"/>
          <w:sz w:val="32"/>
          <w:szCs w:val="32"/>
        </w:rPr>
      </w:pPr>
      <w:r>
        <w:rPr>
          <w:rStyle w:val="16"/>
          <w:rFonts w:eastAsia="仿宋_GB2312"/>
          <w:b w:val="0"/>
          <w:bCs w:val="0"/>
          <w:color w:val="000000"/>
          <w:sz w:val="32"/>
          <w:szCs w:val="32"/>
        </w:rPr>
        <w:t>（</w:t>
      </w:r>
      <w:r>
        <w:rPr>
          <w:rStyle w:val="16"/>
          <w:rFonts w:hint="eastAsia" w:eastAsia="仿宋_GB2312"/>
          <w:b w:val="0"/>
          <w:bCs w:val="0"/>
          <w:color w:val="000000"/>
          <w:sz w:val="32"/>
          <w:szCs w:val="32"/>
          <w:lang w:val="en-US" w:eastAsia="zh-CN"/>
        </w:rPr>
        <w:t>5</w:t>
      </w:r>
      <w:r>
        <w:rPr>
          <w:rStyle w:val="16"/>
          <w:rFonts w:eastAsia="仿宋_GB2312"/>
          <w:b w:val="0"/>
          <w:bCs w:val="0"/>
          <w:color w:val="000000"/>
          <w:sz w:val="32"/>
          <w:szCs w:val="32"/>
        </w:rPr>
        <w:t>）城乡社区管理事务（款）其他城乡社区管理事务支出（项）:支出决算</w:t>
      </w:r>
      <w:r>
        <w:rPr>
          <w:rStyle w:val="16"/>
          <w:rFonts w:hint="eastAsia" w:eastAsia="仿宋_GB2312"/>
          <w:b w:val="0"/>
          <w:bCs w:val="0"/>
          <w:color w:val="000000"/>
          <w:sz w:val="32"/>
          <w:szCs w:val="32"/>
          <w:lang w:val="en-US" w:eastAsia="zh-CN"/>
        </w:rPr>
        <w:t>44.68</w:t>
      </w:r>
      <w:r>
        <w:rPr>
          <w:rStyle w:val="16"/>
          <w:rFonts w:eastAsia="仿宋_GB2312"/>
          <w:b w:val="0"/>
          <w:bCs w:val="0"/>
          <w:color w:val="000000"/>
          <w:sz w:val="32"/>
          <w:szCs w:val="32"/>
        </w:rPr>
        <w:t>万元，完成预算</w:t>
      </w:r>
      <w:r>
        <w:rPr>
          <w:rStyle w:val="16"/>
          <w:rFonts w:hint="eastAsia" w:eastAsia="仿宋_GB2312"/>
          <w:b w:val="0"/>
          <w:bCs w:val="0"/>
          <w:color w:val="000000"/>
          <w:sz w:val="32"/>
          <w:szCs w:val="32"/>
          <w:lang w:val="en-US" w:eastAsia="zh-CN"/>
        </w:rPr>
        <w:t>89.36</w:t>
      </w:r>
      <w:r>
        <w:rPr>
          <w:rStyle w:val="16"/>
          <w:rFonts w:eastAsia="仿宋_GB2312"/>
          <w:b w:val="0"/>
          <w:bCs w:val="0"/>
          <w:color w:val="000000"/>
          <w:sz w:val="32"/>
          <w:szCs w:val="32"/>
        </w:rPr>
        <w:t>%</w:t>
      </w:r>
      <w:r>
        <w:rPr>
          <w:rFonts w:hint="eastAsia" w:eastAsia="仿宋_GB2312"/>
          <w:color w:val="000000"/>
          <w:sz w:val="32"/>
          <w:szCs w:val="32"/>
          <w:lang w:eastAsia="zh-CN"/>
        </w:rPr>
        <w:t>，主要原因是：项目未执行结束</w:t>
      </w:r>
      <w:r>
        <w:rPr>
          <w:rStyle w:val="16"/>
          <w:rFonts w:hint="eastAsia" w:eastAsia="仿宋_GB2312"/>
          <w:b w:val="0"/>
          <w:bCs w:val="0"/>
          <w:color w:val="000000"/>
          <w:sz w:val="32"/>
          <w:szCs w:val="32"/>
          <w:lang w:eastAsia="zh-CN"/>
        </w:rPr>
        <w:t>。</w:t>
      </w:r>
    </w:p>
    <w:p>
      <w:pPr>
        <w:pageBreakBefore w:val="0"/>
        <w:kinsoku/>
        <w:wordWrap/>
        <w:overflowPunct/>
        <w:topLinePunct w:val="0"/>
        <w:bidi w:val="0"/>
        <w:spacing w:line="570" w:lineRule="exact"/>
        <w:ind w:firstLine="640" w:firstLineChars="200"/>
        <w:rPr>
          <w:rStyle w:val="16"/>
          <w:rFonts w:eastAsia="仿宋_GB2312"/>
          <w:b w:val="0"/>
          <w:color w:val="000000"/>
          <w:sz w:val="32"/>
          <w:szCs w:val="32"/>
        </w:rPr>
      </w:pPr>
      <w:r>
        <w:rPr>
          <w:rStyle w:val="16"/>
          <w:rFonts w:eastAsia="仿宋_GB2312"/>
          <w:b w:val="0"/>
          <w:bCs w:val="0"/>
          <w:color w:val="000000"/>
          <w:sz w:val="32"/>
          <w:szCs w:val="32"/>
        </w:rPr>
        <w:t>（</w:t>
      </w:r>
      <w:r>
        <w:rPr>
          <w:rStyle w:val="16"/>
          <w:rFonts w:hint="eastAsia" w:eastAsia="仿宋_GB2312"/>
          <w:b w:val="0"/>
          <w:bCs w:val="0"/>
          <w:color w:val="000000"/>
          <w:sz w:val="32"/>
          <w:szCs w:val="32"/>
          <w:lang w:val="en-US" w:eastAsia="zh-CN"/>
        </w:rPr>
        <w:t>6</w:t>
      </w:r>
      <w:r>
        <w:rPr>
          <w:rStyle w:val="16"/>
          <w:rFonts w:eastAsia="仿宋_GB2312"/>
          <w:b w:val="0"/>
          <w:bCs w:val="0"/>
          <w:color w:val="000000"/>
          <w:sz w:val="32"/>
          <w:szCs w:val="32"/>
        </w:rPr>
        <w:t>）城乡社区规划与管理（款）城乡社区规划与管理（项）:支出决算</w:t>
      </w:r>
      <w:r>
        <w:rPr>
          <w:rStyle w:val="16"/>
          <w:rFonts w:hint="eastAsia" w:eastAsia="仿宋_GB2312"/>
          <w:b w:val="0"/>
          <w:bCs w:val="0"/>
          <w:color w:val="000000"/>
          <w:sz w:val="32"/>
          <w:szCs w:val="32"/>
          <w:lang w:val="en-US" w:eastAsia="zh-CN"/>
        </w:rPr>
        <w:t>763</w:t>
      </w:r>
      <w:r>
        <w:rPr>
          <w:rStyle w:val="16"/>
          <w:rFonts w:eastAsia="仿宋_GB2312"/>
          <w:b w:val="0"/>
          <w:bCs w:val="0"/>
          <w:color w:val="000000"/>
          <w:sz w:val="32"/>
          <w:szCs w:val="32"/>
        </w:rPr>
        <w:t>万元，完成预算</w:t>
      </w:r>
      <w:r>
        <w:rPr>
          <w:rStyle w:val="16"/>
          <w:rFonts w:hint="eastAsia" w:eastAsia="仿宋_GB2312"/>
          <w:b w:val="0"/>
          <w:bCs w:val="0"/>
          <w:color w:val="000000"/>
          <w:sz w:val="32"/>
          <w:szCs w:val="32"/>
          <w:lang w:val="en-US" w:eastAsia="zh-CN"/>
        </w:rPr>
        <w:t>43.48</w:t>
      </w:r>
      <w:r>
        <w:rPr>
          <w:rStyle w:val="16"/>
          <w:rFonts w:eastAsia="仿宋_GB2312"/>
          <w:b w:val="0"/>
          <w:bCs w:val="0"/>
          <w:color w:val="000000"/>
          <w:sz w:val="32"/>
          <w:szCs w:val="32"/>
        </w:rPr>
        <w:t>%</w:t>
      </w:r>
      <w:r>
        <w:rPr>
          <w:rFonts w:hint="eastAsia" w:eastAsia="仿宋_GB2312"/>
          <w:color w:val="000000"/>
          <w:sz w:val="32"/>
          <w:szCs w:val="32"/>
          <w:lang w:eastAsia="zh-CN"/>
        </w:rPr>
        <w:t>，主要原因是：项目未执行结束</w:t>
      </w:r>
      <w:r>
        <w:rPr>
          <w:rStyle w:val="16"/>
          <w:rFonts w:eastAsia="仿宋_GB2312"/>
          <w:b w:val="0"/>
          <w:color w:val="000000"/>
          <w:sz w:val="32"/>
          <w:szCs w:val="32"/>
        </w:rPr>
        <w:t>。</w:t>
      </w:r>
    </w:p>
    <w:p>
      <w:pPr>
        <w:pageBreakBefore w:val="0"/>
        <w:kinsoku/>
        <w:wordWrap/>
        <w:overflowPunct/>
        <w:topLinePunct w:val="0"/>
        <w:bidi w:val="0"/>
        <w:spacing w:line="570" w:lineRule="exact"/>
        <w:ind w:firstLine="640" w:firstLineChars="200"/>
        <w:rPr>
          <w:rStyle w:val="16"/>
          <w:rFonts w:hint="default" w:eastAsia="仿宋_GB2312"/>
          <w:b w:val="0"/>
          <w:color w:val="000000"/>
          <w:sz w:val="32"/>
          <w:szCs w:val="32"/>
          <w:lang w:val="en-US" w:eastAsia="zh-CN"/>
        </w:rPr>
      </w:pPr>
      <w:r>
        <w:rPr>
          <w:rStyle w:val="16"/>
          <w:rFonts w:eastAsia="仿宋_GB2312"/>
          <w:b w:val="0"/>
          <w:bCs w:val="0"/>
          <w:color w:val="000000"/>
          <w:sz w:val="32"/>
          <w:szCs w:val="32"/>
        </w:rPr>
        <w:t>（</w:t>
      </w:r>
      <w:r>
        <w:rPr>
          <w:rStyle w:val="16"/>
          <w:rFonts w:hint="eastAsia" w:eastAsia="仿宋_GB2312"/>
          <w:b w:val="0"/>
          <w:bCs w:val="0"/>
          <w:color w:val="000000"/>
          <w:sz w:val="32"/>
          <w:szCs w:val="32"/>
          <w:lang w:val="en-US" w:eastAsia="zh-CN"/>
        </w:rPr>
        <w:t>7</w:t>
      </w:r>
      <w:r>
        <w:rPr>
          <w:rStyle w:val="16"/>
          <w:rFonts w:eastAsia="仿宋_GB2312"/>
          <w:b w:val="0"/>
          <w:bCs w:val="0"/>
          <w:color w:val="000000"/>
          <w:sz w:val="32"/>
          <w:szCs w:val="32"/>
        </w:rPr>
        <w:t>）</w:t>
      </w:r>
      <w:r>
        <w:rPr>
          <w:rStyle w:val="16"/>
          <w:rFonts w:hint="eastAsia" w:eastAsia="仿宋_GB2312"/>
          <w:b w:val="0"/>
          <w:bCs w:val="0"/>
          <w:color w:val="000000"/>
          <w:sz w:val="32"/>
          <w:szCs w:val="32"/>
          <w:lang w:eastAsia="zh-CN"/>
        </w:rPr>
        <w:t>城乡社区公共设施（款）其他城乡社区公共设施（项）：支出决算</w:t>
      </w:r>
      <w:r>
        <w:rPr>
          <w:rStyle w:val="16"/>
          <w:rFonts w:hint="eastAsia" w:eastAsia="仿宋_GB2312"/>
          <w:b w:val="0"/>
          <w:bCs w:val="0"/>
          <w:color w:val="000000"/>
          <w:sz w:val="32"/>
          <w:szCs w:val="32"/>
          <w:lang w:val="en-US" w:eastAsia="zh-CN"/>
        </w:rPr>
        <w:t>600万元，完成预算50%</w:t>
      </w:r>
      <w:r>
        <w:rPr>
          <w:rFonts w:hint="eastAsia" w:eastAsia="仿宋_GB2312"/>
          <w:color w:val="000000"/>
          <w:sz w:val="32"/>
          <w:szCs w:val="32"/>
          <w:lang w:eastAsia="zh-CN"/>
        </w:rPr>
        <w:t>，主要原因是：项目未执行结束</w:t>
      </w:r>
      <w:r>
        <w:rPr>
          <w:rStyle w:val="16"/>
          <w:rFonts w:hint="eastAsia" w:eastAsia="仿宋_GB2312"/>
          <w:b w:val="0"/>
          <w:bCs w:val="0"/>
          <w:color w:val="000000"/>
          <w:sz w:val="32"/>
          <w:szCs w:val="32"/>
          <w:lang w:val="en-US" w:eastAsia="zh-CN"/>
        </w:rPr>
        <w:t>。</w:t>
      </w:r>
    </w:p>
    <w:p>
      <w:pPr>
        <w:pageBreakBefore w:val="0"/>
        <w:kinsoku/>
        <w:wordWrap/>
        <w:overflowPunct/>
        <w:topLinePunct w:val="0"/>
        <w:bidi w:val="0"/>
        <w:spacing w:line="570" w:lineRule="exact"/>
        <w:ind w:firstLine="640" w:firstLineChars="200"/>
        <w:rPr>
          <w:rStyle w:val="16"/>
          <w:rFonts w:hint="eastAsia" w:eastAsia="仿宋_GB2312"/>
          <w:b w:val="0"/>
          <w:bCs w:val="0"/>
          <w:color w:val="000000"/>
          <w:sz w:val="32"/>
          <w:szCs w:val="32"/>
          <w:lang w:val="en-US" w:eastAsia="zh-CN"/>
        </w:rPr>
      </w:pPr>
      <w:r>
        <w:rPr>
          <w:rStyle w:val="16"/>
          <w:rFonts w:eastAsia="仿宋_GB2312"/>
          <w:b w:val="0"/>
          <w:bCs w:val="0"/>
          <w:color w:val="000000"/>
          <w:sz w:val="32"/>
          <w:szCs w:val="32"/>
        </w:rPr>
        <w:t>（</w:t>
      </w:r>
      <w:r>
        <w:rPr>
          <w:rStyle w:val="16"/>
          <w:rFonts w:hint="eastAsia" w:eastAsia="仿宋_GB2312"/>
          <w:b w:val="0"/>
          <w:bCs w:val="0"/>
          <w:color w:val="000000"/>
          <w:sz w:val="32"/>
          <w:szCs w:val="32"/>
          <w:lang w:val="en-US" w:eastAsia="zh-CN"/>
        </w:rPr>
        <w:t>8</w:t>
      </w:r>
      <w:r>
        <w:rPr>
          <w:rStyle w:val="16"/>
          <w:rFonts w:eastAsia="仿宋_GB2312"/>
          <w:b w:val="0"/>
          <w:bCs w:val="0"/>
          <w:color w:val="000000"/>
          <w:sz w:val="32"/>
          <w:szCs w:val="32"/>
        </w:rPr>
        <w:t>）</w:t>
      </w:r>
      <w:r>
        <w:rPr>
          <w:rStyle w:val="16"/>
          <w:rFonts w:hint="eastAsia" w:eastAsia="仿宋_GB2312"/>
          <w:b w:val="0"/>
          <w:bCs w:val="0"/>
          <w:color w:val="000000"/>
          <w:sz w:val="32"/>
          <w:szCs w:val="32"/>
          <w:lang w:eastAsia="zh-CN"/>
        </w:rPr>
        <w:t>城乡社区环境卫生（款）城乡社区环境卫生（项）：支出决算</w:t>
      </w:r>
      <w:r>
        <w:rPr>
          <w:rStyle w:val="16"/>
          <w:rFonts w:hint="eastAsia" w:eastAsia="仿宋_GB2312"/>
          <w:b w:val="0"/>
          <w:bCs w:val="0"/>
          <w:color w:val="000000"/>
          <w:sz w:val="32"/>
          <w:szCs w:val="32"/>
          <w:lang w:val="en-US" w:eastAsia="zh-CN"/>
        </w:rPr>
        <w:t>2000万元，完成预算100%。</w:t>
      </w:r>
    </w:p>
    <w:p>
      <w:pPr>
        <w:pageBreakBefore w:val="0"/>
        <w:kinsoku/>
        <w:wordWrap/>
        <w:overflowPunct/>
        <w:topLinePunct w:val="0"/>
        <w:bidi w:val="0"/>
        <w:spacing w:line="57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6.交通运输支出（类）公路水路运输（款）公路建设（项）：支出决算4937.01万元，完成预算的98.74%</w:t>
      </w:r>
      <w:r>
        <w:rPr>
          <w:rFonts w:hint="eastAsia" w:eastAsia="仿宋_GB2312"/>
          <w:color w:val="000000"/>
          <w:sz w:val="32"/>
          <w:szCs w:val="32"/>
          <w:lang w:eastAsia="zh-CN"/>
        </w:rPr>
        <w:t>，主要原因是：项目未执行结束</w:t>
      </w:r>
      <w:r>
        <w:rPr>
          <w:rFonts w:hint="eastAsia" w:ascii="仿宋" w:hAnsi="仿宋" w:eastAsia="仿宋"/>
          <w:color w:val="auto"/>
          <w:sz w:val="32"/>
          <w:szCs w:val="32"/>
          <w:highlight w:val="none"/>
          <w:lang w:val="en-US" w:eastAsia="zh-CN"/>
        </w:rPr>
        <w:t>。</w:t>
      </w:r>
    </w:p>
    <w:p>
      <w:pPr>
        <w:pageBreakBefore w:val="0"/>
        <w:kinsoku/>
        <w:wordWrap/>
        <w:overflowPunct/>
        <w:topLinePunct w:val="0"/>
        <w:bidi w:val="0"/>
        <w:spacing w:line="570" w:lineRule="exact"/>
        <w:ind w:firstLine="640" w:firstLineChars="200"/>
        <w:rPr>
          <w:rStyle w:val="16"/>
          <w:rFonts w:hint="eastAsia" w:eastAsia="仿宋_GB2312"/>
          <w:b w:val="0"/>
          <w:bCs w:val="0"/>
          <w:color w:val="0000FF"/>
          <w:sz w:val="32"/>
          <w:szCs w:val="32"/>
          <w:lang w:val="en-US" w:eastAsia="zh-CN"/>
        </w:rPr>
      </w:pPr>
      <w:r>
        <w:rPr>
          <w:rFonts w:hint="eastAsia" w:ascii="仿宋" w:hAnsi="仿宋" w:eastAsia="仿宋"/>
          <w:color w:val="auto"/>
          <w:sz w:val="32"/>
          <w:szCs w:val="32"/>
          <w:highlight w:val="none"/>
          <w:lang w:val="en-US" w:eastAsia="zh-CN"/>
        </w:rPr>
        <w:t>7.资源勘探信息等支出（类）支持中小企业发展和管理支出（款）中小企业发展专项（项）：支出决算1001.24万元，</w:t>
      </w:r>
      <w:r>
        <w:rPr>
          <w:rStyle w:val="16"/>
          <w:rFonts w:hint="eastAsia" w:eastAsia="仿宋_GB2312"/>
          <w:b w:val="0"/>
          <w:bCs w:val="0"/>
          <w:color w:val="000000"/>
          <w:sz w:val="32"/>
          <w:szCs w:val="32"/>
          <w:lang w:val="en-US" w:eastAsia="zh-CN"/>
        </w:rPr>
        <w:t>完成预算100%。</w:t>
      </w:r>
    </w:p>
    <w:p>
      <w:pPr>
        <w:pageBreakBefore w:val="0"/>
        <w:kinsoku/>
        <w:wordWrap/>
        <w:overflowPunct/>
        <w:topLinePunct w:val="0"/>
        <w:bidi w:val="0"/>
        <w:spacing w:line="570" w:lineRule="exact"/>
        <w:ind w:firstLine="640" w:firstLineChars="200"/>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8.商业服务业等支出（类）其他商业服务业等支出（款）其他商业服务业等支出（项）：支出决算5.16万元，完成预算100%。</w:t>
      </w:r>
    </w:p>
    <w:p>
      <w:pPr>
        <w:pageBreakBefore w:val="0"/>
        <w:kinsoku/>
        <w:wordWrap/>
        <w:overflowPunct/>
        <w:topLinePunct w:val="0"/>
        <w:bidi w:val="0"/>
        <w:spacing w:line="57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9.住房保障支出（类）住房改革支出（款）住房公积金（项）：支出决算35.6万元，完成预算100%。</w:t>
      </w:r>
    </w:p>
    <w:p>
      <w:pPr>
        <w:pageBreakBefore w:val="0"/>
        <w:tabs>
          <w:tab w:val="right" w:pos="8306"/>
        </w:tabs>
        <w:kinsoku/>
        <w:wordWrap/>
        <w:overflowPunct/>
        <w:topLinePunct w:val="0"/>
        <w:bidi w:val="0"/>
        <w:spacing w:line="570" w:lineRule="exact"/>
        <w:ind w:firstLine="640"/>
        <w:outlineLvl w:val="1"/>
        <w:rPr>
          <w:rStyle w:val="27"/>
          <w:color w:val="auto"/>
          <w:highlight w:val="none"/>
        </w:rPr>
      </w:pPr>
      <w:bookmarkStart w:id="36" w:name="_Toc29705"/>
      <w:bookmarkStart w:id="37"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36"/>
      <w:bookmarkEnd w:id="37"/>
      <w:r>
        <w:rPr>
          <w:rStyle w:val="27"/>
          <w:rFonts w:ascii="黑体" w:hAnsi="黑体" w:eastAsia="黑体"/>
          <w:b w:val="0"/>
          <w:color w:val="auto"/>
          <w:highlight w:val="none"/>
        </w:rPr>
        <w:tab/>
      </w:r>
    </w:p>
    <w:p>
      <w:pPr>
        <w:pageBreakBefore w:val="0"/>
        <w:kinsoku/>
        <w:wordWrap/>
        <w:overflowPunct/>
        <w:topLinePunct w:val="0"/>
        <w:bidi w:val="0"/>
        <w:spacing w:line="57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201</w:t>
      </w:r>
      <w:r>
        <w:rPr>
          <w:rFonts w:hint="eastAsia" w:ascii="仿宋" w:hAnsi="仿宋" w:eastAsia="仿宋"/>
          <w:color w:val="auto"/>
          <w:sz w:val="32"/>
          <w:szCs w:val="32"/>
          <w:highlight w:val="none"/>
        </w:rPr>
        <w:t>8年一般公共预算财政拨款基本支出</w:t>
      </w:r>
      <w:r>
        <w:rPr>
          <w:rFonts w:hint="eastAsia" w:ascii="仿宋" w:hAnsi="仿宋" w:eastAsia="仿宋"/>
          <w:color w:val="auto"/>
          <w:sz w:val="32"/>
          <w:szCs w:val="32"/>
          <w:highlight w:val="none"/>
          <w:lang w:val="en-US" w:eastAsia="zh-CN"/>
        </w:rPr>
        <w:t>758.96</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698.45</w:t>
      </w:r>
      <w:r>
        <w:rPr>
          <w:rFonts w:hint="eastAsia" w:ascii="仿宋" w:hAnsi="仿宋" w:eastAsia="仿宋"/>
          <w:color w:val="auto"/>
          <w:sz w:val="32"/>
          <w:szCs w:val="32"/>
          <w:highlight w:val="none"/>
        </w:rPr>
        <w:t>万元，</w:t>
      </w:r>
      <w:r>
        <w:rPr>
          <w:rFonts w:hint="eastAsia" w:ascii="仿宋_GB2312" w:hAnsi="仿宋" w:eastAsia="仿宋_GB2312"/>
          <w:sz w:val="32"/>
          <w:szCs w:val="32"/>
        </w:rPr>
        <w:t>主要包括：基本工资、津贴补贴、奖金、伙食补助费、绩效工资、机关事业单位基本养老保险费、职业年金缴费、职工基本医疗保险缴费、公务员医疗补助缴费、其他社会保障缴费、住房公积金、医疗费、其他工资福利支出、离休费、退休费、退职（役）费、抚恤金、生活补助、救济费、医疗费补助、助学金、奖励金、个人农业生产补贴、其他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60.51</w:t>
      </w:r>
      <w:r>
        <w:rPr>
          <w:rFonts w:hint="eastAsia" w:ascii="仿宋" w:hAnsi="仿宋" w:eastAsia="仿宋"/>
          <w:color w:val="auto"/>
          <w:sz w:val="32"/>
          <w:szCs w:val="32"/>
          <w:highlight w:val="none"/>
        </w:rPr>
        <w:t>万元，</w:t>
      </w:r>
      <w:r>
        <w:rPr>
          <w:rFonts w:hint="eastAsia" w:ascii="仿宋_GB2312" w:hAnsi="仿宋" w:eastAsia="仿宋_GB2312"/>
          <w:sz w:val="32"/>
          <w:szCs w:val="32"/>
        </w:rPr>
        <w:t>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外债务付息、国内债务发行费用、国外债务发行费用、房屋建筑物购建、办公设备购置、专用设备购置、基础设施建设、大型修缮、信息网络及软件购置更新、物资储备、土地补偿、安置补助、地上附着物和青苗补偿、拆迁补偿、公务用车购置、其他交通工具购置、文物和陈列品购置、无形资产购置、对企业补助、资本金注入、政府投资基金股权投资、费用补贴、利息补贴、其他对企业补助、赠与、国家赔偿费用支出、对民间非营利组织和群众性自治组织补贴、其他支出等。</w:t>
      </w:r>
    </w:p>
    <w:p>
      <w:pPr>
        <w:pageBreakBefore w:val="0"/>
        <w:kinsoku/>
        <w:wordWrap/>
        <w:overflowPunct/>
        <w:topLinePunct w:val="0"/>
        <w:bidi w:val="0"/>
        <w:spacing w:line="570" w:lineRule="exact"/>
        <w:ind w:firstLine="640"/>
        <w:outlineLvl w:val="1"/>
        <w:rPr>
          <w:rFonts w:hint="eastAsia" w:ascii="仿宋" w:hAnsi="仿宋" w:eastAsia="仿宋"/>
          <w:color w:val="auto"/>
          <w:sz w:val="32"/>
          <w:szCs w:val="32"/>
          <w:highlight w:val="none"/>
        </w:rPr>
      </w:pPr>
      <w:bookmarkStart w:id="38" w:name="_Toc15377215"/>
      <w:bookmarkStart w:id="39" w:name="_Toc4756"/>
      <w:r>
        <w:rPr>
          <w:rFonts w:hint="eastAsia" w:ascii="仿宋" w:hAnsi="仿宋" w:eastAsia="仿宋"/>
          <w:color w:val="auto"/>
          <w:sz w:val="32"/>
          <w:szCs w:val="32"/>
          <w:highlight w:val="none"/>
        </w:rPr>
        <w:t>（图</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：一般公共预算财政拨款</w:t>
      </w:r>
      <w:r>
        <w:rPr>
          <w:rFonts w:hint="eastAsia" w:ascii="仿宋" w:hAnsi="仿宋" w:eastAsia="仿宋"/>
          <w:color w:val="auto"/>
          <w:sz w:val="32"/>
          <w:szCs w:val="32"/>
          <w:highlight w:val="none"/>
          <w:lang w:eastAsia="zh-CN"/>
        </w:rPr>
        <w:t>基本</w:t>
      </w:r>
      <w:r>
        <w:rPr>
          <w:rFonts w:hint="eastAsia" w:ascii="仿宋" w:hAnsi="仿宋" w:eastAsia="仿宋"/>
          <w:color w:val="auto"/>
          <w:sz w:val="32"/>
          <w:szCs w:val="32"/>
          <w:highlight w:val="none"/>
        </w:rPr>
        <w:t>支出决算</w:t>
      </w:r>
      <w:r>
        <w:rPr>
          <w:rFonts w:hint="eastAsia" w:ascii="仿宋" w:hAnsi="仿宋" w:eastAsia="仿宋"/>
          <w:color w:val="auto"/>
          <w:sz w:val="32"/>
          <w:szCs w:val="32"/>
          <w:highlight w:val="none"/>
          <w:lang w:eastAsia="zh-CN"/>
        </w:rPr>
        <w:t>表</w:t>
      </w:r>
      <w:r>
        <w:rPr>
          <w:rFonts w:hint="eastAsia" w:ascii="仿宋" w:hAnsi="仿宋" w:eastAsia="仿宋"/>
          <w:color w:val="auto"/>
          <w:sz w:val="32"/>
          <w:szCs w:val="32"/>
          <w:highlight w:val="none"/>
        </w:rPr>
        <w:t>）（饼状图）</w:t>
      </w:r>
    </w:p>
    <w:p>
      <w:pPr>
        <w:pStyle w:val="2"/>
        <w:rPr>
          <w:rFonts w:hint="eastAsia" w:ascii="黑体" w:eastAsia="黑体"/>
          <w:color w:val="auto"/>
          <w:sz w:val="32"/>
          <w:szCs w:val="32"/>
          <w:highlight w:val="none"/>
        </w:rPr>
      </w:pPr>
      <w:r>
        <w:drawing>
          <wp:inline distT="0" distB="0" distL="114300" distR="114300">
            <wp:extent cx="4572000" cy="2743200"/>
            <wp:effectExtent l="4445" t="4445" r="10795" b="107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ageBreakBefore w:val="0"/>
        <w:kinsoku/>
        <w:wordWrap/>
        <w:overflowPunct/>
        <w:topLinePunct w:val="0"/>
        <w:bidi w:val="0"/>
        <w:spacing w:line="570" w:lineRule="exact"/>
        <w:ind w:firstLine="640"/>
        <w:outlineLvl w:val="1"/>
        <w:rPr>
          <w:rStyle w:val="27"/>
          <w:rFonts w:ascii="黑体" w:hAnsi="黑体" w:eastAsia="黑体"/>
          <w:b w:val="0"/>
          <w:color w:val="auto"/>
          <w:highlight w:val="none"/>
        </w:rPr>
      </w:pPr>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38"/>
      <w:bookmarkEnd w:id="39"/>
    </w:p>
    <w:p>
      <w:pPr>
        <w:pageBreakBefore w:val="0"/>
        <w:kinsoku/>
        <w:wordWrap/>
        <w:overflowPunct/>
        <w:topLinePunct w:val="0"/>
        <w:bidi w:val="0"/>
        <w:spacing w:line="570" w:lineRule="exact"/>
        <w:ind w:firstLine="640"/>
        <w:outlineLvl w:val="2"/>
        <w:rPr>
          <w:rFonts w:ascii="仿宋" w:hAnsi="仿宋" w:eastAsia="仿宋"/>
          <w:b/>
          <w:color w:val="auto"/>
          <w:sz w:val="32"/>
          <w:szCs w:val="32"/>
          <w:highlight w:val="none"/>
        </w:rPr>
      </w:pPr>
      <w:bookmarkStart w:id="40" w:name="_Toc15377216"/>
      <w:r>
        <w:rPr>
          <w:rFonts w:hint="eastAsia" w:ascii="仿宋" w:hAnsi="仿宋" w:eastAsia="仿宋"/>
          <w:b/>
          <w:color w:val="auto"/>
          <w:sz w:val="32"/>
          <w:szCs w:val="32"/>
          <w:highlight w:val="none"/>
        </w:rPr>
        <w:t>（一）“三公”经费财政拨款支出决算总体情况说明</w:t>
      </w:r>
      <w:bookmarkEnd w:id="40"/>
    </w:p>
    <w:p>
      <w:pPr>
        <w:pageBreakBefore w:val="0"/>
        <w:kinsoku/>
        <w:wordWrap/>
        <w:overflowPunct/>
        <w:topLinePunct w:val="0"/>
        <w:bidi w:val="0"/>
        <w:spacing w:line="570"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201</w:t>
      </w:r>
      <w:r>
        <w:rPr>
          <w:rFonts w:hint="eastAsia" w:ascii="仿宋" w:hAnsi="仿宋" w:eastAsia="仿宋"/>
          <w:color w:val="auto"/>
          <w:sz w:val="32"/>
          <w:szCs w:val="32"/>
          <w:highlight w:val="none"/>
        </w:rPr>
        <w:t>8年“三公”经费财政拨款支出决算为</w:t>
      </w:r>
      <w:r>
        <w:rPr>
          <w:rFonts w:hint="eastAsia" w:ascii="仿宋" w:hAnsi="仿宋" w:eastAsia="仿宋"/>
          <w:color w:val="auto"/>
          <w:sz w:val="32"/>
          <w:szCs w:val="32"/>
          <w:highlight w:val="none"/>
          <w:lang w:val="en-US" w:eastAsia="zh-CN"/>
        </w:rPr>
        <w:t>9.5</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52.78</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，决算数小于预算数</w:t>
      </w:r>
      <w:r>
        <w:rPr>
          <w:rFonts w:hint="eastAsia" w:ascii="仿宋" w:hAnsi="仿宋" w:eastAsia="仿宋"/>
          <w:color w:val="auto"/>
          <w:sz w:val="32"/>
          <w:szCs w:val="32"/>
          <w:highlight w:val="none"/>
          <w:lang w:val="en-US" w:eastAsia="zh-CN"/>
        </w:rPr>
        <w:t>8.5万元</w:t>
      </w:r>
      <w:r>
        <w:rPr>
          <w:rFonts w:hint="eastAsia" w:ascii="仿宋" w:hAnsi="仿宋" w:eastAsia="仿宋"/>
          <w:color w:val="auto"/>
          <w:sz w:val="32"/>
          <w:szCs w:val="32"/>
          <w:highlight w:val="none"/>
        </w:rPr>
        <w:t>的主要原因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因公出国（境）经费支出</w:t>
      </w:r>
      <w:r>
        <w:rPr>
          <w:rFonts w:hint="eastAsia" w:ascii="仿宋" w:hAnsi="仿宋" w:eastAsia="仿宋"/>
          <w:color w:val="auto"/>
          <w:sz w:val="32"/>
          <w:szCs w:val="32"/>
          <w:highlight w:val="none"/>
          <w:lang w:eastAsia="zh-CN"/>
        </w:rPr>
        <w:t>决算数少于预算数</w:t>
      </w:r>
      <w:r>
        <w:rPr>
          <w:rFonts w:hint="eastAsia" w:ascii="仿宋" w:hAnsi="仿宋" w:eastAsia="仿宋"/>
          <w:color w:val="auto"/>
          <w:sz w:val="32"/>
          <w:szCs w:val="32"/>
          <w:highlight w:val="none"/>
          <w:lang w:val="en-US" w:eastAsia="zh-CN"/>
        </w:rPr>
        <w:t>3.04万元，</w:t>
      </w:r>
      <w:r>
        <w:rPr>
          <w:rFonts w:hint="eastAsia" w:ascii="仿宋" w:hAnsi="仿宋" w:eastAsia="仿宋"/>
          <w:color w:val="auto"/>
          <w:sz w:val="32"/>
          <w:szCs w:val="32"/>
          <w:highlight w:val="none"/>
          <w:lang w:eastAsia="zh-CN"/>
        </w:rPr>
        <w:t>公务接待支出决算数少于预算数</w:t>
      </w:r>
      <w:r>
        <w:rPr>
          <w:rFonts w:hint="eastAsia" w:ascii="仿宋" w:hAnsi="仿宋" w:eastAsia="仿宋"/>
          <w:color w:val="auto"/>
          <w:sz w:val="32"/>
          <w:szCs w:val="32"/>
          <w:highlight w:val="none"/>
          <w:lang w:val="en-US" w:eastAsia="zh-CN"/>
        </w:rPr>
        <w:t>5.46万元。</w:t>
      </w:r>
    </w:p>
    <w:p>
      <w:pPr>
        <w:pageBreakBefore w:val="0"/>
        <w:kinsoku/>
        <w:wordWrap/>
        <w:overflowPunct/>
        <w:topLinePunct w:val="0"/>
        <w:bidi w:val="0"/>
        <w:spacing w:line="570" w:lineRule="exact"/>
        <w:ind w:firstLine="640"/>
        <w:outlineLvl w:val="2"/>
        <w:rPr>
          <w:rFonts w:ascii="仿宋" w:hAnsi="仿宋" w:eastAsia="仿宋"/>
          <w:b/>
          <w:color w:val="auto"/>
          <w:sz w:val="32"/>
          <w:szCs w:val="32"/>
          <w:highlight w:val="none"/>
        </w:rPr>
      </w:pPr>
      <w:bookmarkStart w:id="41" w:name="_Toc15377217"/>
      <w:r>
        <w:rPr>
          <w:rFonts w:hint="eastAsia" w:ascii="仿宋" w:hAnsi="仿宋" w:eastAsia="仿宋"/>
          <w:b/>
          <w:color w:val="auto"/>
          <w:sz w:val="32"/>
          <w:szCs w:val="32"/>
          <w:highlight w:val="none"/>
        </w:rPr>
        <w:t>（二）“三公”经费财政拨款支出决算具体情况说明</w:t>
      </w:r>
      <w:bookmarkEnd w:id="41"/>
    </w:p>
    <w:p>
      <w:pPr>
        <w:pageBreakBefore w:val="0"/>
        <w:kinsoku/>
        <w:wordWrap/>
        <w:overflowPunct/>
        <w:topLinePunct w:val="0"/>
        <w:bidi w:val="0"/>
        <w:spacing w:line="57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201</w:t>
      </w:r>
      <w:r>
        <w:rPr>
          <w:rFonts w:hint="eastAsia" w:ascii="仿宋" w:hAnsi="仿宋" w:eastAsia="仿宋"/>
          <w:color w:val="auto"/>
          <w:sz w:val="32"/>
          <w:szCs w:val="32"/>
          <w:highlight w:val="none"/>
        </w:rPr>
        <w:t>8年“三公”经费财政拨款支出决算中，因公出国（境）费支出决算</w:t>
      </w:r>
      <w:r>
        <w:rPr>
          <w:rFonts w:hint="eastAsia" w:ascii="仿宋" w:hAnsi="仿宋" w:eastAsia="仿宋"/>
          <w:color w:val="auto"/>
          <w:sz w:val="32"/>
          <w:szCs w:val="32"/>
          <w:highlight w:val="none"/>
          <w:lang w:val="en-US" w:eastAsia="zh-CN"/>
        </w:rPr>
        <w:t>1.96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20.63</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42.11</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3.54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37.26</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ageBreakBefore w:val="0"/>
        <w:kinsoku/>
        <w:wordWrap/>
        <w:overflowPunct/>
        <w:topLinePunct w:val="0"/>
        <w:bidi w:val="0"/>
        <w:spacing w:line="570" w:lineRule="exact"/>
        <w:ind w:firstLine="640"/>
        <w:rPr>
          <w:rFonts w:hint="eastAsia" w:ascii="仿宋" w:hAnsi="仿宋" w:eastAsia="仿宋"/>
          <w:color w:val="0000FF"/>
          <w:sz w:val="32"/>
          <w:szCs w:val="32"/>
          <w:highlight w:val="none"/>
        </w:rPr>
      </w:pPr>
      <w:r>
        <w:rPr>
          <w:rFonts w:hint="eastAsia" w:ascii="仿宋" w:hAnsi="仿宋" w:eastAsia="仿宋"/>
          <w:color w:val="auto"/>
          <w:sz w:val="32"/>
          <w:szCs w:val="32"/>
          <w:highlight w:val="none"/>
        </w:rPr>
        <w:t>（图8：“三公”经费财政拨款支出结构）（饼状图）</w:t>
      </w:r>
    </w:p>
    <w:p>
      <w:pPr>
        <w:pStyle w:val="2"/>
        <w:rPr>
          <w:rFonts w:hint="eastAsia" w:ascii="仿宋" w:hAnsi="仿宋" w:eastAsia="仿宋"/>
          <w:color w:val="0000FF"/>
          <w:sz w:val="32"/>
          <w:szCs w:val="32"/>
          <w:highlight w:val="none"/>
        </w:rPr>
      </w:pPr>
    </w:p>
    <w:p>
      <w:pPr>
        <w:rPr>
          <w:rFonts w:hint="eastAsia" w:ascii="仿宋" w:hAnsi="仿宋" w:eastAsia="仿宋"/>
          <w:color w:val="0000FF"/>
          <w:sz w:val="32"/>
          <w:szCs w:val="32"/>
          <w:highlight w:val="none"/>
        </w:rPr>
      </w:pPr>
    </w:p>
    <w:p>
      <w:pPr>
        <w:pStyle w:val="2"/>
        <w:rPr>
          <w:rFonts w:hint="eastAsia" w:ascii="仿宋" w:hAnsi="仿宋" w:eastAsia="仿宋"/>
          <w:color w:val="0000FF"/>
          <w:sz w:val="32"/>
          <w:szCs w:val="32"/>
          <w:highlight w:val="none"/>
        </w:rPr>
      </w:pPr>
    </w:p>
    <w:p>
      <w:pPr>
        <w:jc w:val="center"/>
        <w:rPr>
          <w:rFonts w:hint="eastAsia" w:ascii="仿宋" w:hAnsi="仿宋" w:eastAsia="仿宋"/>
          <w:color w:val="0000FF"/>
          <w:sz w:val="32"/>
          <w:szCs w:val="32"/>
          <w:highlight w:val="none"/>
        </w:rPr>
      </w:pPr>
    </w:p>
    <w:p>
      <w:pPr>
        <w:pStyle w:val="2"/>
        <w:rPr>
          <w:rFonts w:hint="eastAsia" w:ascii="仿宋" w:hAnsi="仿宋" w:eastAsia="仿宋"/>
          <w:color w:val="0000FF"/>
          <w:sz w:val="32"/>
          <w:szCs w:val="32"/>
          <w:highlight w:val="none"/>
        </w:rPr>
      </w:pPr>
    </w:p>
    <w:p>
      <w:pPr>
        <w:rPr>
          <w:rFonts w:hint="eastAsia"/>
        </w:rPr>
      </w:pPr>
    </w:p>
    <w:p>
      <w:pPr>
        <w:pStyle w:val="2"/>
        <w:pageBreakBefore w:val="0"/>
        <w:kinsoku/>
        <w:wordWrap/>
        <w:overflowPunct/>
        <w:topLinePunct w:val="0"/>
        <w:bidi w:val="0"/>
        <w:spacing w:line="570" w:lineRule="exact"/>
        <w:rPr>
          <w:rFonts w:hint="eastAsia" w:ascii="仿宋" w:hAnsi="仿宋" w:eastAsia="仿宋"/>
          <w:color w:val="0000FF"/>
          <w:sz w:val="32"/>
          <w:szCs w:val="32"/>
          <w:highlight w:val="none"/>
        </w:rPr>
      </w:pPr>
    </w:p>
    <w:p>
      <w:pPr>
        <w:pageBreakBefore w:val="0"/>
        <w:kinsoku/>
        <w:wordWrap/>
        <w:overflowPunct/>
        <w:topLinePunct w:val="0"/>
        <w:bidi w:val="0"/>
        <w:spacing w:line="570" w:lineRule="exact"/>
        <w:rPr>
          <w:rFonts w:ascii="仿宋_GB2312" w:eastAsia="仿宋_GB2312"/>
          <w:b/>
          <w:color w:val="auto"/>
          <w:sz w:val="32"/>
          <w:szCs w:val="32"/>
          <w:highlight w:val="none"/>
        </w:rPr>
      </w:pPr>
      <w:r>
        <w:drawing>
          <wp:anchor distT="0" distB="0" distL="114300" distR="114300" simplePos="0" relativeHeight="251663360" behindDoc="0" locked="0" layoutInCell="1" allowOverlap="1">
            <wp:simplePos x="0" y="0"/>
            <wp:positionH relativeFrom="column">
              <wp:posOffset>4445</wp:posOffset>
            </wp:positionH>
            <wp:positionV relativeFrom="paragraph">
              <wp:posOffset>-2464435</wp:posOffset>
            </wp:positionV>
            <wp:extent cx="4572000" cy="2743200"/>
            <wp:effectExtent l="4445" t="4445" r="10795" b="10795"/>
            <wp:wrapNone/>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ageBreakBefore w:val="0"/>
        <w:kinsoku/>
        <w:wordWrap/>
        <w:overflowPunct/>
        <w:topLinePunct w:val="0"/>
        <w:bidi w:val="0"/>
        <w:spacing w:line="57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1.96</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39.2</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201</w:t>
      </w:r>
      <w:r>
        <w:rPr>
          <w:rFonts w:hint="eastAsia" w:ascii="仿宋_GB2312" w:eastAsia="仿宋_GB2312"/>
          <w:color w:val="auto"/>
          <w:sz w:val="32"/>
          <w:szCs w:val="32"/>
          <w:highlight w:val="none"/>
        </w:rPr>
        <w:t>7年增加</w:t>
      </w:r>
      <w:r>
        <w:rPr>
          <w:rFonts w:hint="eastAsia" w:ascii="仿宋_GB2312" w:eastAsia="仿宋_GB2312"/>
          <w:color w:val="auto"/>
          <w:sz w:val="32"/>
          <w:szCs w:val="32"/>
          <w:highlight w:val="none"/>
          <w:lang w:val="en-US" w:eastAsia="zh-CN"/>
        </w:rPr>
        <w:t>1.96</w:t>
      </w:r>
      <w:r>
        <w:rPr>
          <w:rFonts w:hint="eastAsia" w:ascii="仿宋_GB2312" w:eastAsia="仿宋_GB2312"/>
          <w:color w:val="auto"/>
          <w:sz w:val="32"/>
          <w:szCs w:val="32"/>
          <w:highlight w:val="none"/>
        </w:rPr>
        <w:t>万元。主要原因是</w:t>
      </w:r>
      <w:r>
        <w:rPr>
          <w:rFonts w:hint="eastAsia" w:ascii="仿宋_GB2312" w:eastAsia="仿宋_GB2312"/>
          <w:color w:val="auto"/>
          <w:sz w:val="32"/>
          <w:szCs w:val="32"/>
          <w:highlight w:val="none"/>
          <w:lang w:val="en-US" w:eastAsia="zh-CN"/>
        </w:rPr>
        <w:t>2017年无因公出国的情况</w:t>
      </w:r>
      <w:r>
        <w:rPr>
          <w:rFonts w:hint="eastAsia" w:ascii="仿宋_GB2312" w:eastAsia="仿宋_GB2312"/>
          <w:color w:val="auto"/>
          <w:sz w:val="32"/>
          <w:szCs w:val="32"/>
          <w:highlight w:val="none"/>
        </w:rPr>
        <w:t>。</w:t>
      </w:r>
    </w:p>
    <w:p>
      <w:pPr>
        <w:pageBreakBefore w:val="0"/>
        <w:kinsoku/>
        <w:wordWrap/>
        <w:overflowPunct/>
        <w:topLinePunct w:val="0"/>
        <w:bidi w:val="0"/>
        <w:spacing w:line="570" w:lineRule="exact"/>
        <w:ind w:firstLine="64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开支内容包括：</w:t>
      </w:r>
      <w:r>
        <w:rPr>
          <w:rFonts w:hint="eastAsia" w:ascii="仿宋_GB2312" w:eastAsia="仿宋_GB2312"/>
          <w:color w:val="auto"/>
          <w:sz w:val="32"/>
          <w:szCs w:val="32"/>
          <w:highlight w:val="none"/>
          <w:lang w:val="en-US" w:eastAsia="zh-CN"/>
        </w:rPr>
        <w:t>2018年</w:t>
      </w:r>
      <w:r>
        <w:rPr>
          <w:rFonts w:hint="eastAsia" w:ascii="仿宋_GB2312" w:eastAsia="仿宋_GB2312"/>
          <w:color w:val="auto"/>
          <w:sz w:val="32"/>
          <w:szCs w:val="32"/>
          <w:highlight w:val="none"/>
          <w:lang w:eastAsia="zh-CN"/>
        </w:rPr>
        <w:t>参加由市政府组织到韩国、日本等地考察城市建设工作。通过学习借鉴，认真吸取两国城市建设经验，并运用于达州实践，有力推动了达州城市建设。</w:t>
      </w:r>
    </w:p>
    <w:p>
      <w:pPr>
        <w:pageBreakBefore w:val="0"/>
        <w:kinsoku/>
        <w:wordWrap/>
        <w:overflowPunct/>
        <w:topLinePunct w:val="0"/>
        <w:bidi w:val="0"/>
        <w:spacing w:line="570" w:lineRule="exact"/>
        <w:ind w:firstLine="640"/>
        <w:rPr>
          <w:rFonts w:hint="eastAsia" w:ascii="仿宋_GB2312" w:eastAsia="仿宋_GB2312"/>
          <w:b/>
          <w:color w:val="auto"/>
          <w:sz w:val="32"/>
          <w:szCs w:val="32"/>
          <w:highlight w:val="none"/>
          <w:lang w:eastAsia="zh-CN"/>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201</w:t>
      </w:r>
      <w:r>
        <w:rPr>
          <w:rFonts w:hint="eastAsia" w:ascii="仿宋_GB2312" w:eastAsia="仿宋_GB2312"/>
          <w:color w:val="auto"/>
          <w:sz w:val="32"/>
          <w:szCs w:val="32"/>
          <w:highlight w:val="none"/>
        </w:rPr>
        <w:t>7年增加</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33</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主要原因是车辆老化，维修、用油等相关费用增加。</w:t>
      </w:r>
    </w:p>
    <w:p>
      <w:pPr>
        <w:pageBreakBefore w:val="0"/>
        <w:kinsoku/>
        <w:wordWrap/>
        <w:overflowPunct/>
        <w:topLinePunct w:val="0"/>
        <w:bidi w:val="0"/>
        <w:spacing w:line="57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辆。截至</w:t>
      </w:r>
      <w:r>
        <w:rPr>
          <w:rFonts w:ascii="仿宋_GB2312" w:eastAsia="仿宋_GB2312"/>
          <w:color w:val="auto"/>
          <w:sz w:val="32"/>
          <w:szCs w:val="32"/>
          <w:highlight w:val="none"/>
        </w:rPr>
        <w:t>201</w:t>
      </w:r>
      <w:r>
        <w:rPr>
          <w:rFonts w:hint="eastAsia" w:ascii="仿宋_GB2312" w:eastAsia="仿宋_GB2312"/>
          <w:color w:val="auto"/>
          <w:sz w:val="32"/>
          <w:szCs w:val="32"/>
          <w:highlight w:val="none"/>
        </w:rPr>
        <w:t>8年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辆，其中：越野车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p>
    <w:p>
      <w:pPr>
        <w:pageBreakBefore w:val="0"/>
        <w:kinsoku/>
        <w:wordWrap/>
        <w:overflowPunct/>
        <w:topLinePunct w:val="0"/>
        <w:bidi w:val="0"/>
        <w:spacing w:line="570" w:lineRule="exact"/>
        <w:ind w:firstLine="640" w:firstLineChars="200"/>
        <w:rPr>
          <w:rFonts w:eastAsia="仿宋_GB2312"/>
          <w:color w:val="000000"/>
          <w:sz w:val="32"/>
          <w:szCs w:val="32"/>
        </w:rPr>
      </w:pPr>
      <w:r>
        <w:rPr>
          <w:rFonts w:hint="eastAsia" w:ascii="仿宋_GB2312" w:eastAsia="仿宋_GB2312"/>
          <w:color w:val="auto"/>
          <w:sz w:val="32"/>
          <w:szCs w:val="32"/>
          <w:highlight w:val="none"/>
        </w:rPr>
        <w:t>公务用车运行维护费支出</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万元。主要用于农村危房改造专项工作、棚户区改造专项工作、推进新型城镇</w:t>
      </w:r>
      <w:r>
        <w:rPr>
          <w:rFonts w:eastAsia="仿宋_GB2312"/>
          <w:color w:val="000000"/>
          <w:sz w:val="32"/>
          <w:szCs w:val="32"/>
        </w:rPr>
        <w:t>化专项工作、房地产业转型发展和推进建筑业持续发展等所需的公务用车燃料费、维修费、过路过桥费、保险费等支出</w:t>
      </w:r>
      <w:r>
        <w:rPr>
          <w:rFonts w:hint="eastAsia" w:eastAsia="仿宋_GB2312"/>
          <w:color w:val="000000"/>
          <w:sz w:val="32"/>
          <w:szCs w:val="32"/>
        </w:rPr>
        <w:t>。</w:t>
      </w:r>
    </w:p>
    <w:p>
      <w:pPr>
        <w:pageBreakBefore w:val="0"/>
        <w:kinsoku/>
        <w:wordWrap/>
        <w:overflowPunct/>
        <w:topLinePunct w:val="0"/>
        <w:bidi w:val="0"/>
        <w:spacing w:line="57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3.54</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39.33</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201</w:t>
      </w:r>
      <w:r>
        <w:rPr>
          <w:rFonts w:hint="eastAsia" w:ascii="仿宋_GB2312" w:eastAsia="仿宋_GB2312"/>
          <w:color w:val="auto"/>
          <w:sz w:val="32"/>
          <w:szCs w:val="32"/>
          <w:highlight w:val="none"/>
        </w:rPr>
        <w:t>7年减少</w:t>
      </w:r>
      <w:r>
        <w:rPr>
          <w:rFonts w:hint="eastAsia" w:ascii="仿宋_GB2312" w:eastAsia="仿宋_GB2312"/>
          <w:color w:val="auto"/>
          <w:sz w:val="32"/>
          <w:szCs w:val="32"/>
          <w:highlight w:val="none"/>
          <w:lang w:val="en-US" w:eastAsia="zh-CN"/>
        </w:rPr>
        <w:t>0.91</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20.45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eastAsia="仿宋_GB2312"/>
          <w:color w:val="000000"/>
          <w:sz w:val="32"/>
          <w:szCs w:val="32"/>
        </w:rPr>
        <w:t>严格按照中央</w:t>
      </w:r>
      <w:r>
        <w:rPr>
          <w:rFonts w:hint="eastAsia" w:eastAsia="仿宋_GB2312"/>
          <w:color w:val="000000"/>
          <w:sz w:val="32"/>
          <w:szCs w:val="32"/>
          <w:lang w:eastAsia="zh-CN"/>
        </w:rPr>
        <w:t>、省、市各项规定，</w:t>
      </w:r>
      <w:r>
        <w:rPr>
          <w:rFonts w:eastAsia="仿宋_GB2312"/>
          <w:color w:val="000000"/>
          <w:sz w:val="32"/>
          <w:szCs w:val="32"/>
        </w:rPr>
        <w:t>反对铺张浪费。落实公务接待审批控制制度、公务接待清单等制度，严格审批，严控标准，公务接待费用得到有效的控制</w:t>
      </w:r>
      <w:r>
        <w:rPr>
          <w:rFonts w:hint="eastAsia" w:ascii="仿宋_GB2312" w:eastAsia="仿宋_GB2312"/>
          <w:color w:val="auto"/>
          <w:sz w:val="32"/>
          <w:szCs w:val="32"/>
          <w:highlight w:val="none"/>
        </w:rPr>
        <w:t>。</w:t>
      </w:r>
    </w:p>
    <w:p>
      <w:pPr>
        <w:spacing w:line="600" w:lineRule="exact"/>
        <w:ind w:firstLine="640" w:firstLineChars="200"/>
        <w:rPr>
          <w:rFonts w:hint="eastAsia" w:ascii="仿宋_GB2312" w:eastAsia="仿宋_GB2312"/>
          <w:color w:val="auto"/>
          <w:sz w:val="32"/>
          <w:szCs w:val="32"/>
          <w:highlight w:val="none"/>
        </w:rPr>
      </w:pPr>
      <w:bookmarkStart w:id="42" w:name="_Toc4539"/>
      <w:bookmarkStart w:id="43" w:name="_Toc15377218"/>
      <w:r>
        <w:rPr>
          <w:rFonts w:hint="eastAsia" w:ascii="仿宋_GB2312" w:eastAsia="仿宋_GB2312"/>
          <w:color w:val="auto"/>
          <w:sz w:val="32"/>
          <w:szCs w:val="32"/>
          <w:highlight w:val="none"/>
        </w:rPr>
        <w:t>主要用于执行公务、开展业务活动开支的交通费、住宿费、用餐费等。公务接待</w:t>
      </w:r>
      <w:r>
        <w:rPr>
          <w:rFonts w:hint="eastAsia" w:ascii="仿宋_GB2312" w:eastAsia="仿宋_GB2312"/>
          <w:color w:val="auto"/>
          <w:sz w:val="32"/>
          <w:szCs w:val="32"/>
          <w:highlight w:val="none"/>
          <w:lang w:val="en-US" w:eastAsia="zh-CN"/>
        </w:rPr>
        <w:t>72</w:t>
      </w:r>
      <w:r>
        <w:rPr>
          <w:rFonts w:hint="eastAsia" w:ascii="仿宋_GB2312" w:eastAsia="仿宋_GB2312"/>
          <w:color w:val="auto"/>
          <w:sz w:val="32"/>
          <w:szCs w:val="32"/>
          <w:highlight w:val="none"/>
        </w:rPr>
        <w:t>批</w:t>
      </w:r>
      <w:bookmarkStart w:id="72" w:name="_GoBack"/>
      <w:bookmarkEnd w:id="72"/>
      <w:r>
        <w:rPr>
          <w:rFonts w:hint="eastAsia" w:ascii="仿宋_GB2312" w:eastAsia="仿宋_GB2312"/>
          <w:color w:val="auto"/>
          <w:sz w:val="32"/>
          <w:szCs w:val="32"/>
          <w:highlight w:val="none"/>
        </w:rPr>
        <w:t>次</w:t>
      </w:r>
      <w:r>
        <w:rPr>
          <w:rFonts w:hint="eastAsia" w:ascii="仿宋_GB2312" w:eastAsia="仿宋_GB2312"/>
          <w:color w:val="auto"/>
          <w:sz w:val="32"/>
          <w:szCs w:val="32"/>
          <w:highlight w:val="none"/>
          <w:lang w:val="en-US" w:eastAsia="zh-CN"/>
        </w:rPr>
        <w:t>331人次</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3.54</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迎接中央、省有关村镇建设、房地产业发展、建筑业发展、勘察设计、督促检查等方面检查指导工作。</w:t>
      </w:r>
    </w:p>
    <w:p>
      <w:pPr>
        <w:pageBreakBefore w:val="0"/>
        <w:kinsoku/>
        <w:wordWrap/>
        <w:overflowPunct/>
        <w:topLinePunct w:val="0"/>
        <w:bidi w:val="0"/>
        <w:spacing w:line="570" w:lineRule="exact"/>
        <w:ind w:firstLine="640"/>
        <w:outlineLvl w:val="1"/>
        <w:rPr>
          <w:rStyle w:val="27"/>
          <w:rFonts w:ascii="黑体" w:hAnsi="黑体" w:eastAsia="黑体"/>
          <w:color w:val="auto"/>
          <w:highlight w:val="none"/>
        </w:rPr>
      </w:pPr>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42"/>
      <w:bookmarkEnd w:id="43"/>
    </w:p>
    <w:p>
      <w:pPr>
        <w:pageBreakBefore w:val="0"/>
        <w:kinsoku/>
        <w:wordWrap/>
        <w:overflowPunct/>
        <w:topLinePunct w:val="0"/>
        <w:bidi w:val="0"/>
        <w:spacing w:line="570" w:lineRule="exact"/>
        <w:ind w:firstLine="640"/>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201</w:t>
      </w:r>
      <w:r>
        <w:rPr>
          <w:rFonts w:hint="eastAsia" w:ascii="仿宋_GB2312" w:eastAsia="仿宋_GB2312"/>
          <w:color w:val="auto"/>
          <w:sz w:val="32"/>
          <w:szCs w:val="32"/>
          <w:highlight w:val="none"/>
        </w:rPr>
        <w:t>8年政府性基金预算拨款支出</w:t>
      </w:r>
      <w:r>
        <w:rPr>
          <w:rFonts w:hint="eastAsia" w:ascii="仿宋_GB2312" w:eastAsia="仿宋_GB2312"/>
          <w:color w:val="auto"/>
          <w:sz w:val="32"/>
          <w:szCs w:val="32"/>
          <w:highlight w:val="none"/>
          <w:lang w:val="en-US" w:eastAsia="zh-CN"/>
        </w:rPr>
        <w:t>8434.84</w:t>
      </w:r>
      <w:r>
        <w:rPr>
          <w:rFonts w:hint="eastAsia" w:ascii="仿宋_GB2312" w:eastAsia="仿宋_GB2312"/>
          <w:color w:val="auto"/>
          <w:sz w:val="32"/>
          <w:szCs w:val="32"/>
          <w:highlight w:val="none"/>
        </w:rPr>
        <w:t>万元</w:t>
      </w:r>
      <w:bookmarkStart w:id="44" w:name="_Toc5156"/>
      <w:bookmarkStart w:id="45" w:name="_Toc15377219"/>
      <w:r>
        <w:rPr>
          <w:rFonts w:hint="eastAsia" w:ascii="仿宋_GB2312" w:eastAsia="仿宋_GB2312"/>
          <w:color w:val="auto"/>
          <w:sz w:val="32"/>
          <w:szCs w:val="32"/>
          <w:highlight w:val="none"/>
          <w:lang w:eastAsia="zh-CN"/>
        </w:rPr>
        <w:t>，与</w:t>
      </w:r>
      <w:r>
        <w:rPr>
          <w:rFonts w:hint="eastAsia" w:ascii="仿宋_GB2312" w:eastAsia="仿宋_GB2312"/>
          <w:color w:val="auto"/>
          <w:sz w:val="32"/>
          <w:szCs w:val="32"/>
          <w:highlight w:val="none"/>
          <w:lang w:val="en-US" w:eastAsia="zh-CN"/>
        </w:rPr>
        <w:t>2017年相比增加6185.16万元，增长274.94%。主要原因是：商品和服务支出增加6185.16万元。</w:t>
      </w:r>
    </w:p>
    <w:p>
      <w:pPr>
        <w:pageBreakBefore w:val="0"/>
        <w:kinsoku/>
        <w:wordWrap/>
        <w:overflowPunct/>
        <w:topLinePunct w:val="0"/>
        <w:bidi w:val="0"/>
        <w:spacing w:line="570" w:lineRule="exact"/>
        <w:ind w:firstLine="640"/>
        <w:rPr>
          <w:rStyle w:val="27"/>
          <w:rFonts w:ascii="黑体" w:hAnsi="黑体" w:eastAsia="黑体"/>
          <w:b w:val="0"/>
          <w:color w:val="auto"/>
          <w:highlight w:val="none"/>
        </w:rPr>
      </w:pPr>
      <w:r>
        <w:rPr>
          <w:rStyle w:val="27"/>
          <w:rFonts w:hint="eastAsia" w:ascii="黑体" w:hAnsi="黑体" w:eastAsia="黑体"/>
          <w:b w:val="0"/>
          <w:color w:val="auto"/>
          <w:highlight w:val="none"/>
          <w:lang w:eastAsia="zh-CN"/>
        </w:rPr>
        <w:t>九、</w:t>
      </w:r>
      <w:r>
        <w:rPr>
          <w:rStyle w:val="27"/>
          <w:rFonts w:hint="eastAsia" w:ascii="黑体" w:hAnsi="黑体" w:eastAsia="黑体"/>
          <w:b w:val="0"/>
          <w:color w:val="auto"/>
          <w:highlight w:val="none"/>
        </w:rPr>
        <w:t>国有资本经营预算支出决算情况说明</w:t>
      </w:r>
      <w:bookmarkEnd w:id="44"/>
      <w:bookmarkEnd w:id="45"/>
    </w:p>
    <w:p>
      <w:pPr>
        <w:pageBreakBefore w:val="0"/>
        <w:kinsoku/>
        <w:wordWrap/>
        <w:overflowPunct/>
        <w:topLinePunct w:val="0"/>
        <w:bidi w:val="0"/>
        <w:spacing w:line="570" w:lineRule="exact"/>
        <w:ind w:firstLine="640"/>
        <w:rPr>
          <w:rFonts w:hint="eastAsia" w:ascii="仿宋_GB2312" w:eastAsia="仿宋_GB2312"/>
          <w:color w:val="auto"/>
          <w:sz w:val="32"/>
          <w:szCs w:val="32"/>
          <w:highlight w:val="none"/>
        </w:rPr>
      </w:pPr>
      <w:r>
        <w:rPr>
          <w:rFonts w:ascii="仿宋_GB2312" w:eastAsia="仿宋_GB2312"/>
          <w:color w:val="auto"/>
          <w:sz w:val="32"/>
          <w:szCs w:val="32"/>
          <w:highlight w:val="none"/>
        </w:rPr>
        <w:t>201</w:t>
      </w:r>
      <w:r>
        <w:rPr>
          <w:rFonts w:hint="eastAsia" w:ascii="仿宋_GB2312" w:eastAsia="仿宋_GB2312"/>
          <w:color w:val="auto"/>
          <w:sz w:val="32"/>
          <w:szCs w:val="32"/>
          <w:highlight w:val="none"/>
        </w:rPr>
        <w:t>8年国有资本经营预算拨款支出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46" w:name="_Toc7362"/>
    </w:p>
    <w:p>
      <w:pPr>
        <w:pageBreakBefore w:val="0"/>
        <w:kinsoku/>
        <w:wordWrap/>
        <w:overflowPunct/>
        <w:topLinePunct w:val="0"/>
        <w:bidi w:val="0"/>
        <w:spacing w:line="570" w:lineRule="exact"/>
        <w:ind w:firstLine="640"/>
        <w:rPr>
          <w:rStyle w:val="27"/>
          <w:rFonts w:hint="eastAsia" w:ascii="黑体" w:hAnsi="黑体" w:eastAsia="黑体"/>
          <w:b w:val="0"/>
          <w:color w:val="auto"/>
          <w:highlight w:val="none"/>
        </w:rPr>
      </w:pPr>
      <w:r>
        <w:rPr>
          <w:rStyle w:val="27"/>
          <w:rFonts w:hint="eastAsia" w:ascii="黑体" w:hAnsi="黑体" w:eastAsia="黑体"/>
          <w:b w:val="0"/>
          <w:color w:val="auto"/>
          <w:highlight w:val="none"/>
          <w:lang w:eastAsia="zh-CN"/>
        </w:rPr>
        <w:t>十、</w:t>
      </w:r>
      <w:r>
        <w:rPr>
          <w:rStyle w:val="27"/>
          <w:rFonts w:hint="eastAsia" w:ascii="黑体" w:hAnsi="黑体" w:eastAsia="黑体"/>
          <w:b w:val="0"/>
          <w:color w:val="auto"/>
          <w:highlight w:val="none"/>
        </w:rPr>
        <w:t>预算绩效情况说明</w:t>
      </w:r>
      <w:bookmarkEnd w:id="46"/>
    </w:p>
    <w:p>
      <w:pPr>
        <w:pageBreakBefore w:val="0"/>
        <w:kinsoku/>
        <w:wordWrap/>
        <w:overflowPunct/>
        <w:topLinePunct w:val="0"/>
        <w:bidi w:val="0"/>
        <w:spacing w:line="570" w:lineRule="exact"/>
        <w:ind w:firstLine="640"/>
        <w:rPr>
          <w:rFonts w:hint="eastAsia" w:ascii="仿宋_GB2312" w:hAnsi="仿宋_GB2312" w:eastAsia="仿宋_GB2312" w:cs="仿宋_GB2312"/>
          <w:color w:val="auto"/>
          <w:sz w:val="32"/>
          <w:szCs w:val="32"/>
          <w:highlight w:val="none"/>
        </w:rPr>
      </w:pPr>
      <w:r>
        <w:rPr>
          <w:rFonts w:hint="eastAsia" w:ascii="仿宋" w:hAnsi="仿宋" w:eastAsia="仿宋" w:cs="楷体_GB2312"/>
          <w:b/>
          <w:bCs/>
          <w:color w:val="auto"/>
          <w:sz w:val="32"/>
          <w:szCs w:val="32"/>
          <w:highlight w:val="none"/>
          <w:lang w:eastAsia="zh-CN"/>
        </w:rPr>
        <w:t>（一）</w:t>
      </w:r>
      <w:r>
        <w:rPr>
          <w:rFonts w:hint="eastAsia" w:ascii="仿宋" w:hAnsi="仿宋" w:eastAsia="仿宋" w:cs="楷体_GB2312"/>
          <w:b/>
          <w:bCs/>
          <w:color w:val="auto"/>
          <w:sz w:val="32"/>
          <w:szCs w:val="32"/>
          <w:highlight w:val="none"/>
        </w:rPr>
        <w:t>预算绩效管理工作开展情况。</w:t>
      </w:r>
      <w:r>
        <w:rPr>
          <w:rFonts w:hint="eastAsia" w:ascii="仿宋_GB2312" w:hAnsi="仿宋_GB2312" w:eastAsia="仿宋_GB2312" w:cs="仿宋_GB2312"/>
          <w:color w:val="auto"/>
          <w:sz w:val="32"/>
          <w:szCs w:val="32"/>
          <w:highlight w:val="none"/>
        </w:rPr>
        <w:t>根据预算绩效管理要求，</w:t>
      </w:r>
      <w:r>
        <w:rPr>
          <w:rFonts w:hint="eastAsia" w:ascii="仿宋_GB2312" w:hAnsi="仿宋_GB2312" w:eastAsia="仿宋_GB2312" w:cs="仿宋_GB2312"/>
          <w:color w:val="auto"/>
          <w:sz w:val="32"/>
          <w:szCs w:val="32"/>
          <w:highlight w:val="none"/>
          <w:lang w:eastAsia="zh-CN"/>
        </w:rPr>
        <w:t>达州市住房城乡建设局</w:t>
      </w:r>
      <w:r>
        <w:rPr>
          <w:rFonts w:hint="eastAsia" w:ascii="仿宋_GB2312" w:hAnsi="仿宋_GB2312" w:eastAsia="仿宋_GB2312" w:cs="仿宋_GB2312"/>
          <w:color w:val="auto"/>
          <w:sz w:val="32"/>
          <w:szCs w:val="32"/>
          <w:highlight w:val="none"/>
        </w:rPr>
        <w:t>在年初预算编制阶段，组织对</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项目开展了预算事前绩效评估，对</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个项目开展了绩效目标完成情况梳理填报。</w:t>
      </w:r>
    </w:p>
    <w:p>
      <w:pPr>
        <w:spacing w:line="580" w:lineRule="exact"/>
        <w:ind w:firstLine="643" w:firstLineChars="200"/>
        <w:rPr>
          <w:rFonts w:ascii="仿宋_GB2312" w:hAnsi="仿宋_GB2312" w:eastAsia="仿宋_GB2312" w:cs="仿宋_GB2312"/>
          <w:color w:val="auto"/>
          <w:sz w:val="32"/>
          <w:szCs w:val="32"/>
          <w:highlight w:val="none"/>
        </w:rPr>
      </w:pPr>
      <w:r>
        <w:rPr>
          <w:rFonts w:hint="eastAsia" w:ascii="仿宋" w:hAnsi="仿宋" w:eastAsia="仿宋" w:cs="楷体_GB2312"/>
          <w:b/>
          <w:bCs/>
          <w:color w:val="auto"/>
          <w:sz w:val="32"/>
          <w:szCs w:val="32"/>
          <w:highlight w:val="none"/>
          <w:lang w:eastAsia="zh-CN"/>
        </w:rPr>
        <w:t>（二）</w:t>
      </w:r>
      <w:r>
        <w:rPr>
          <w:rFonts w:hint="eastAsia" w:ascii="仿宋" w:hAnsi="仿宋" w:eastAsia="仿宋" w:cs="楷体_GB2312"/>
          <w:b/>
          <w:bCs/>
          <w:color w:val="auto"/>
          <w:sz w:val="32"/>
          <w:szCs w:val="32"/>
          <w:highlight w:val="none"/>
        </w:rPr>
        <w:t>项目绩效目标完成情况。</w:t>
      </w:r>
      <w:r>
        <w:rPr>
          <w:rFonts w:hint="eastAsia" w:ascii="仿宋_GB2312" w:hAnsi="仿宋_GB2312" w:eastAsia="仿宋_GB2312" w:cs="仿宋_GB2312"/>
          <w:color w:val="auto"/>
          <w:sz w:val="32"/>
          <w:szCs w:val="32"/>
          <w:highlight w:val="none"/>
          <w:lang w:eastAsia="zh-CN"/>
        </w:rPr>
        <w:t>达州市住房城乡建设局</w:t>
      </w:r>
      <w:r>
        <w:rPr>
          <w:rFonts w:hint="eastAsia" w:ascii="仿宋_GB2312" w:hAnsi="仿宋_GB2312" w:eastAsia="仿宋_GB2312" w:cs="仿宋_GB2312"/>
          <w:color w:val="auto"/>
          <w:sz w:val="32"/>
          <w:szCs w:val="32"/>
          <w:highlight w:val="none"/>
        </w:rPr>
        <w:t>在2018年度部门决算中反映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个项目绩效目标实际完成情况。</w:t>
      </w: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auto"/>
                <w:sz w:val="36"/>
                <w:szCs w:val="36"/>
                <w:highlight w:val="none"/>
              </w:rPr>
            </w:pPr>
            <w:r>
              <w:rPr>
                <w:rFonts w:hint="eastAsia" w:ascii="黑体" w:hAnsi="黑体" w:eastAsia="黑体" w:cs="宋体"/>
                <w:bCs/>
                <w:color w:val="auto"/>
                <w:kern w:val="0"/>
                <w:sz w:val="36"/>
                <w:szCs w:val="36"/>
                <w:highlight w:val="none"/>
                <w:lang w:bidi="ar"/>
              </w:rPr>
              <w:t>项目支出绩效目标完成情况表</w:t>
            </w:r>
            <w:r>
              <w:rPr>
                <w:rFonts w:hint="eastAsia" w:ascii="宋体" w:hAnsi="宋体" w:cs="宋体"/>
                <w:b/>
                <w:bCs/>
                <w:color w:val="auto"/>
                <w:kern w:val="0"/>
                <w:sz w:val="36"/>
                <w:szCs w:val="36"/>
                <w:highlight w:val="none"/>
                <w:lang w:bidi="ar"/>
              </w:rPr>
              <w:br w:type="textWrapping"/>
            </w:r>
            <w:r>
              <w:rPr>
                <w:rFonts w:hint="eastAsia" w:ascii="宋体" w:hAnsi="宋体" w:cs="宋体"/>
                <w:color w:val="auto"/>
                <w:kern w:val="0"/>
                <w:sz w:val="36"/>
                <w:szCs w:val="36"/>
                <w:highlight w:val="none"/>
                <w:lang w:bidi="ar"/>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eastAsia="zh-CN" w:bidi="ar"/>
              </w:rPr>
              <w:t>达州市住房城乡建设局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p>
        </w:tc>
      </w:tr>
    </w:tbl>
    <w:p>
      <w:pPr>
        <w:pageBreakBefore w:val="0"/>
        <w:kinsoku/>
        <w:wordWrap/>
        <w:overflowPunct/>
        <w:topLinePunct w:val="0"/>
        <w:bidi w:val="0"/>
        <w:spacing w:line="570" w:lineRule="exact"/>
        <w:ind w:firstLine="643" w:firstLineChars="200"/>
        <w:rPr>
          <w:rFonts w:hint="eastAsia" w:ascii="仿宋_GB2312" w:hAnsi="仿宋_GB2312" w:eastAsia="仿宋_GB2312" w:cs="仿宋_GB2312"/>
          <w:color w:val="auto"/>
          <w:sz w:val="32"/>
          <w:szCs w:val="32"/>
          <w:highlight w:val="none"/>
        </w:rPr>
      </w:pPr>
      <w:r>
        <w:rPr>
          <w:rFonts w:hint="eastAsia" w:ascii="仿宋" w:hAnsi="仿宋" w:eastAsia="仿宋" w:cs="楷体_GB2312"/>
          <w:b/>
          <w:bCs/>
          <w:color w:val="auto"/>
          <w:sz w:val="32"/>
          <w:szCs w:val="32"/>
          <w:highlight w:val="none"/>
          <w:lang w:eastAsia="zh-CN"/>
        </w:rPr>
        <w:t>（三）</w:t>
      </w:r>
      <w:r>
        <w:rPr>
          <w:rFonts w:hint="eastAsia" w:ascii="仿宋" w:hAnsi="仿宋" w:eastAsia="仿宋" w:cs="楷体_GB2312"/>
          <w:b/>
          <w:bCs/>
          <w:color w:val="auto"/>
          <w:sz w:val="32"/>
          <w:szCs w:val="32"/>
          <w:highlight w:val="none"/>
        </w:rPr>
        <w:t>部门开展绩效评价结果。</w:t>
      </w:r>
      <w:r>
        <w:rPr>
          <w:rFonts w:hint="eastAsia" w:ascii="仿宋_GB2312" w:hAnsi="仿宋_GB2312" w:eastAsia="仿宋_GB2312" w:cs="仿宋_GB2312"/>
          <w:color w:val="auto"/>
          <w:sz w:val="32"/>
          <w:szCs w:val="32"/>
          <w:highlight w:val="none"/>
          <w:lang w:eastAsia="zh-CN"/>
        </w:rPr>
        <w:t>达州市住房城乡建设局</w:t>
      </w:r>
      <w:r>
        <w:rPr>
          <w:rFonts w:hint="eastAsia" w:ascii="仿宋_GB2312" w:hAnsi="仿宋_GB2312" w:eastAsia="仿宋_GB2312" w:cs="仿宋_GB2312"/>
          <w:color w:val="auto"/>
          <w:sz w:val="32"/>
          <w:szCs w:val="32"/>
          <w:highlight w:val="none"/>
        </w:rPr>
        <w:t>按要求对2018年部门整体支出绩效评价情况开展自评，对</w:t>
      </w:r>
      <w:r>
        <w:rPr>
          <w:rFonts w:hint="eastAsia" w:ascii="仿宋_GB2312" w:hAnsi="仿宋_GB2312" w:eastAsia="仿宋_GB2312" w:cs="仿宋_GB2312"/>
          <w:color w:val="auto"/>
          <w:sz w:val="32"/>
          <w:szCs w:val="32"/>
          <w:highlight w:val="none"/>
          <w:lang w:val="en-US" w:eastAsia="zh-CN"/>
        </w:rPr>
        <w:t>0个</w:t>
      </w:r>
      <w:r>
        <w:rPr>
          <w:rFonts w:hint="eastAsia" w:ascii="仿宋_GB2312" w:hAnsi="仿宋_GB2312" w:eastAsia="仿宋_GB2312" w:cs="仿宋_GB2312"/>
          <w:color w:val="auto"/>
          <w:sz w:val="32"/>
          <w:szCs w:val="32"/>
          <w:highlight w:val="none"/>
        </w:rPr>
        <w:t>项目开展了绩效评价。</w:t>
      </w:r>
      <w:bookmarkStart w:id="47" w:name="_Toc15377221"/>
      <w:bookmarkStart w:id="48" w:name="_Toc25870"/>
    </w:p>
    <w:p>
      <w:pPr>
        <w:pageBreakBefore w:val="0"/>
        <w:kinsoku/>
        <w:wordWrap/>
        <w:overflowPunct/>
        <w:topLinePunct w:val="0"/>
        <w:bidi w:val="0"/>
        <w:spacing w:line="570" w:lineRule="exact"/>
        <w:ind w:firstLine="800" w:firstLineChars="250"/>
        <w:outlineLvl w:val="1"/>
        <w:rPr>
          <w:rStyle w:val="27"/>
          <w:rFonts w:ascii="黑体" w:hAnsi="黑体" w:eastAsia="黑体"/>
          <w:color w:val="auto"/>
          <w:highlight w:val="none"/>
        </w:rPr>
      </w:pPr>
      <w:r>
        <w:rPr>
          <w:rFonts w:hint="eastAsia" w:ascii="黑体" w:hAnsi="黑体" w:eastAsia="黑体"/>
          <w:color w:val="auto"/>
          <w:sz w:val="32"/>
          <w:szCs w:val="32"/>
          <w:highlight w:val="none"/>
        </w:rPr>
        <w:t>十</w:t>
      </w:r>
      <w:r>
        <w:rPr>
          <w:rStyle w:val="27"/>
          <w:rFonts w:hint="eastAsia" w:ascii="黑体" w:hAnsi="黑体" w:eastAsia="黑体"/>
          <w:color w:val="auto"/>
          <w:highlight w:val="none"/>
        </w:rPr>
        <w:t>一、</w:t>
      </w:r>
      <w:r>
        <w:rPr>
          <w:rStyle w:val="27"/>
          <w:rFonts w:hint="eastAsia" w:ascii="黑体" w:hAnsi="黑体" w:eastAsia="黑体"/>
          <w:b w:val="0"/>
          <w:color w:val="auto"/>
          <w:highlight w:val="none"/>
        </w:rPr>
        <w:t>其他重要事项的情况说明</w:t>
      </w:r>
      <w:bookmarkEnd w:id="47"/>
      <w:bookmarkEnd w:id="48"/>
    </w:p>
    <w:p>
      <w:pPr>
        <w:pageBreakBefore w:val="0"/>
        <w:kinsoku/>
        <w:wordWrap/>
        <w:overflowPunct/>
        <w:topLinePunct w:val="0"/>
        <w:bidi w:val="0"/>
        <w:spacing w:line="570" w:lineRule="exact"/>
        <w:ind w:firstLine="643" w:firstLineChars="200"/>
        <w:outlineLvl w:val="2"/>
        <w:rPr>
          <w:rFonts w:ascii="仿宋" w:hAnsi="仿宋" w:eastAsia="仿宋"/>
          <w:color w:val="auto"/>
          <w:sz w:val="32"/>
          <w:szCs w:val="32"/>
          <w:highlight w:val="none"/>
        </w:rPr>
      </w:pPr>
      <w:bookmarkStart w:id="49" w:name="_Toc15377222"/>
      <w:r>
        <w:rPr>
          <w:rFonts w:hint="eastAsia" w:ascii="仿宋" w:hAnsi="仿宋" w:eastAsia="仿宋"/>
          <w:b/>
          <w:color w:val="auto"/>
          <w:sz w:val="32"/>
          <w:szCs w:val="32"/>
          <w:highlight w:val="none"/>
        </w:rPr>
        <w:t>（一）机关运行经费支出情况</w:t>
      </w:r>
      <w:bookmarkEnd w:id="49"/>
    </w:p>
    <w:p>
      <w:pPr>
        <w:pageBreakBefore w:val="0"/>
        <w:kinsoku/>
        <w:wordWrap/>
        <w:overflowPunct/>
        <w:topLinePunct w:val="0"/>
        <w:bidi w:val="0"/>
        <w:spacing w:line="570" w:lineRule="exact"/>
        <w:ind w:firstLine="640" w:firstLineChars="200"/>
        <w:rPr>
          <w:rFonts w:hint="default" w:ascii="仿宋_GB2312" w:eastAsia="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2018年，达州市住房城乡建设局机关</w:t>
      </w:r>
      <w:r>
        <w:rPr>
          <w:rFonts w:hint="eastAsia" w:ascii="仿宋_GB2312" w:eastAsia="仿宋_GB2312"/>
          <w:color w:val="auto"/>
          <w:sz w:val="32"/>
          <w:szCs w:val="32"/>
          <w:highlight w:val="none"/>
        </w:rPr>
        <w:t>运行经费支出</w:t>
      </w:r>
      <w:r>
        <w:rPr>
          <w:rFonts w:hint="eastAsia" w:ascii="仿宋_GB2312" w:eastAsia="仿宋_GB2312"/>
          <w:color w:val="auto"/>
          <w:sz w:val="32"/>
          <w:szCs w:val="32"/>
          <w:highlight w:val="none"/>
          <w:lang w:val="en-US" w:eastAsia="zh-CN"/>
        </w:rPr>
        <w:t>60.52</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201</w:t>
      </w:r>
      <w:r>
        <w:rPr>
          <w:rFonts w:hint="eastAsia" w:ascii="仿宋_GB2312" w:eastAsia="仿宋_GB2312"/>
          <w:color w:val="auto"/>
          <w:sz w:val="32"/>
          <w:szCs w:val="32"/>
          <w:highlight w:val="none"/>
        </w:rPr>
        <w:t>7年减少</w:t>
      </w:r>
      <w:r>
        <w:rPr>
          <w:rFonts w:hint="eastAsia" w:ascii="仿宋_GB2312" w:eastAsia="仿宋_GB2312"/>
          <w:color w:val="auto"/>
          <w:sz w:val="32"/>
          <w:szCs w:val="32"/>
          <w:highlight w:val="none"/>
          <w:lang w:val="en-US" w:eastAsia="zh-CN"/>
        </w:rPr>
        <w:t>14.89</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19.75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，办公费、</w:t>
      </w:r>
      <w:r>
        <w:rPr>
          <w:rFonts w:hint="eastAsia" w:ascii="仿宋_GB2312" w:eastAsia="仿宋_GB2312"/>
          <w:color w:val="auto"/>
          <w:sz w:val="32"/>
          <w:szCs w:val="32"/>
          <w:highlight w:val="none"/>
          <w:lang w:val="en-US" w:eastAsia="zh-CN"/>
        </w:rPr>
        <w:t>差旅费、维修费、租赁费、</w:t>
      </w:r>
      <w:r>
        <w:rPr>
          <w:rFonts w:hint="eastAsia" w:ascii="仿宋_GB2312" w:eastAsia="仿宋_GB2312"/>
          <w:color w:val="auto"/>
          <w:sz w:val="32"/>
          <w:szCs w:val="32"/>
          <w:highlight w:val="none"/>
          <w:lang w:eastAsia="zh-CN"/>
        </w:rPr>
        <w:t>公务接待费少于</w:t>
      </w:r>
      <w:r>
        <w:rPr>
          <w:rFonts w:hint="eastAsia" w:ascii="仿宋_GB2312" w:eastAsia="仿宋_GB2312"/>
          <w:color w:val="auto"/>
          <w:sz w:val="32"/>
          <w:szCs w:val="32"/>
          <w:highlight w:val="none"/>
          <w:lang w:val="en-US" w:eastAsia="zh-CN"/>
        </w:rPr>
        <w:t>2017年的决算数。</w:t>
      </w:r>
    </w:p>
    <w:p>
      <w:pPr>
        <w:pageBreakBefore w:val="0"/>
        <w:kinsoku/>
        <w:wordWrap/>
        <w:overflowPunct/>
        <w:topLinePunct w:val="0"/>
        <w:autoSpaceDE w:val="0"/>
        <w:autoSpaceDN w:val="0"/>
        <w:bidi w:val="0"/>
        <w:adjustRightInd w:val="0"/>
        <w:spacing w:line="570" w:lineRule="exact"/>
        <w:ind w:firstLine="643" w:firstLineChars="200"/>
        <w:jc w:val="left"/>
        <w:outlineLvl w:val="2"/>
        <w:rPr>
          <w:rFonts w:ascii="仿宋" w:hAnsi="仿宋" w:eastAsia="仿宋"/>
          <w:b/>
          <w:color w:val="auto"/>
          <w:sz w:val="32"/>
          <w:szCs w:val="32"/>
          <w:highlight w:val="none"/>
        </w:rPr>
      </w:pPr>
      <w:bookmarkStart w:id="50" w:name="_Toc15377223"/>
      <w:r>
        <w:rPr>
          <w:rFonts w:hint="eastAsia" w:ascii="仿宋" w:hAnsi="仿宋" w:eastAsia="仿宋"/>
          <w:b/>
          <w:color w:val="auto"/>
          <w:sz w:val="32"/>
          <w:szCs w:val="32"/>
          <w:highlight w:val="none"/>
        </w:rPr>
        <w:t>（二）政府采购支出情况</w:t>
      </w:r>
      <w:bookmarkEnd w:id="50"/>
    </w:p>
    <w:p>
      <w:pPr>
        <w:pageBreakBefore w:val="0"/>
        <w:kinsoku/>
        <w:wordWrap/>
        <w:overflowPunct/>
        <w:topLinePunct w:val="0"/>
        <w:bidi w:val="0"/>
        <w:spacing w:line="57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201</w:t>
      </w:r>
      <w:r>
        <w:rPr>
          <w:rFonts w:hint="eastAsia" w:ascii="仿宋_GB2312" w:eastAsia="仿宋_GB2312"/>
          <w:color w:val="auto"/>
          <w:sz w:val="32"/>
          <w:szCs w:val="32"/>
          <w:highlight w:val="none"/>
        </w:rPr>
        <w:t>8年，</w:t>
      </w:r>
      <w:r>
        <w:rPr>
          <w:rFonts w:hint="eastAsia" w:ascii="仿宋_GB2312" w:hAnsi="仿宋_GB2312" w:eastAsia="仿宋_GB2312" w:cs="仿宋_GB2312"/>
          <w:color w:val="auto"/>
          <w:sz w:val="32"/>
          <w:szCs w:val="32"/>
          <w:highlight w:val="none"/>
        </w:rPr>
        <w:t>达州市住房城乡建设局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pageBreakBefore w:val="0"/>
        <w:kinsoku/>
        <w:wordWrap/>
        <w:overflowPunct/>
        <w:topLinePunct w:val="0"/>
        <w:autoSpaceDE w:val="0"/>
        <w:autoSpaceDN w:val="0"/>
        <w:bidi w:val="0"/>
        <w:adjustRightInd w:val="0"/>
        <w:spacing w:line="570" w:lineRule="exact"/>
        <w:ind w:firstLine="643" w:firstLineChars="200"/>
        <w:jc w:val="left"/>
        <w:outlineLvl w:val="2"/>
        <w:rPr>
          <w:rFonts w:ascii="仿宋" w:hAnsi="仿宋" w:eastAsia="仿宋"/>
          <w:b/>
          <w:color w:val="auto"/>
          <w:sz w:val="32"/>
          <w:szCs w:val="32"/>
          <w:highlight w:val="none"/>
        </w:rPr>
      </w:pPr>
      <w:bookmarkStart w:id="51" w:name="_Toc15377224"/>
      <w:r>
        <w:rPr>
          <w:rFonts w:hint="eastAsia" w:ascii="仿宋" w:hAnsi="仿宋" w:eastAsia="仿宋"/>
          <w:b/>
          <w:color w:val="auto"/>
          <w:sz w:val="32"/>
          <w:szCs w:val="32"/>
          <w:highlight w:val="none"/>
        </w:rPr>
        <w:t>（三）国有资产占有使用情况</w:t>
      </w:r>
      <w:bookmarkEnd w:id="51"/>
    </w:p>
    <w:p>
      <w:pPr>
        <w:pageBreakBefore w:val="0"/>
        <w:kinsoku/>
        <w:wordWrap/>
        <w:overflowPunct/>
        <w:topLinePunct w:val="0"/>
        <w:autoSpaceDE w:val="0"/>
        <w:autoSpaceDN w:val="0"/>
        <w:bidi w:val="0"/>
        <w:adjustRightInd w:val="0"/>
        <w:spacing w:line="570" w:lineRule="exact"/>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201</w:t>
      </w:r>
      <w:r>
        <w:rPr>
          <w:rFonts w:hint="eastAsia" w:ascii="仿宋_GB2312" w:eastAsia="仿宋_GB2312"/>
          <w:color w:val="auto"/>
          <w:sz w:val="32"/>
          <w:szCs w:val="32"/>
          <w:highlight w:val="none"/>
        </w:rPr>
        <w:t>8年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eastAsia="仿宋_GB2312"/>
          <w:color w:val="000000"/>
          <w:sz w:val="32"/>
          <w:szCs w:val="32"/>
        </w:rPr>
        <w:t>达州市住房城乡建设局共有车辆1辆，其中：一般公务用车1辆，单价50万元以上通用设备0台（套），单价100万元以上专用设备0台（套）。</w:t>
      </w:r>
    </w:p>
    <w:p>
      <w:pPr>
        <w:pageBreakBefore w:val="0"/>
        <w:kinsoku/>
        <w:wordWrap/>
        <w:overflowPunct/>
        <w:topLinePunct w:val="0"/>
        <w:bidi w:val="0"/>
        <w:spacing w:line="570" w:lineRule="exact"/>
        <w:ind w:firstLine="643" w:firstLineChars="200"/>
        <w:rPr>
          <w:rFonts w:ascii="仿宋_GB2312" w:eastAsia="仿宋_GB2312"/>
          <w:b/>
          <w:color w:val="auto"/>
          <w:sz w:val="32"/>
          <w:szCs w:val="32"/>
          <w:highlight w:val="none"/>
        </w:rPr>
      </w:pPr>
    </w:p>
    <w:p>
      <w:pPr>
        <w:pageBreakBefore w:val="0"/>
        <w:widowControl/>
        <w:kinsoku/>
        <w:wordWrap/>
        <w:overflowPunct/>
        <w:topLinePunct w:val="0"/>
        <w:bidi w:val="0"/>
        <w:spacing w:line="570" w:lineRule="exact"/>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pageBreakBefore w:val="0"/>
        <w:numPr>
          <w:ilvl w:val="0"/>
          <w:numId w:val="2"/>
        </w:numPr>
        <w:kinsoku/>
        <w:wordWrap/>
        <w:overflowPunct/>
        <w:topLinePunct w:val="0"/>
        <w:bidi w:val="0"/>
        <w:spacing w:line="570" w:lineRule="exact"/>
        <w:ind w:firstLine="660" w:firstLineChars="150"/>
        <w:jc w:val="center"/>
        <w:outlineLvl w:val="0"/>
        <w:rPr>
          <w:rStyle w:val="26"/>
          <w:rFonts w:ascii="黑体" w:hAnsi="黑体" w:eastAsia="黑体"/>
          <w:b w:val="0"/>
          <w:color w:val="auto"/>
          <w:highlight w:val="none"/>
        </w:rPr>
      </w:pPr>
      <w:bookmarkStart w:id="52" w:name="_Toc15377225"/>
      <w:bookmarkStart w:id="53" w:name="_Toc28839"/>
      <w:r>
        <w:rPr>
          <w:rStyle w:val="26"/>
          <w:rFonts w:hint="eastAsia" w:ascii="黑体" w:hAnsi="黑体" w:eastAsia="黑体"/>
          <w:b w:val="0"/>
          <w:color w:val="auto"/>
          <w:highlight w:val="none"/>
        </w:rPr>
        <w:t>名词解释</w:t>
      </w:r>
      <w:bookmarkEnd w:id="52"/>
      <w:bookmarkEnd w:id="53"/>
    </w:p>
    <w:p>
      <w:pPr>
        <w:pageBreakBefore w:val="0"/>
        <w:kinsoku/>
        <w:wordWrap/>
        <w:overflowPunct/>
        <w:topLinePunct w:val="0"/>
        <w:bidi w:val="0"/>
        <w:spacing w:line="570" w:lineRule="exact"/>
        <w:jc w:val="left"/>
        <w:rPr>
          <w:rFonts w:ascii="宋体"/>
          <w:b/>
          <w:color w:val="auto"/>
          <w:sz w:val="44"/>
          <w:szCs w:val="44"/>
          <w:highlight w:val="none"/>
        </w:rPr>
      </w:pPr>
    </w:p>
    <w:p>
      <w:pPr>
        <w:pStyle w:val="13"/>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kern w:val="2"/>
          <w:sz w:val="32"/>
          <w:szCs w:val="32"/>
          <w:highlight w:val="none"/>
          <w:lang w:val="en-US" w:eastAsia="zh-CN" w:bidi="ar-SA"/>
        </w:rPr>
      </w:pPr>
      <w:bookmarkStart w:id="54" w:name="_Toc15377226"/>
      <w:r>
        <w:rPr>
          <w:rFonts w:hint="eastAsia" w:ascii="仿宋_GB2312" w:hAnsi="仿宋_GB2312" w:eastAsia="仿宋_GB2312" w:cs="仿宋_GB2312"/>
          <w:color w:val="auto"/>
          <w:kern w:val="2"/>
          <w:sz w:val="32"/>
          <w:szCs w:val="32"/>
          <w:highlight w:val="none"/>
          <w:lang w:val="en-US" w:eastAsia="zh-CN" w:bidi="ar-SA"/>
        </w:rPr>
        <w:t xml:space="preserve">1.财政拨款收入：指单位从同级财政部门取得的财政预算资金。 </w:t>
      </w:r>
    </w:p>
    <w:p>
      <w:pPr>
        <w:pStyle w:val="13"/>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2.年初结转和结余：指以前年度尚未完成、结转到本年按有关规定继续使用的资金。 </w:t>
      </w:r>
    </w:p>
    <w:p>
      <w:pPr>
        <w:pStyle w:val="13"/>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3.一般公共服务（类）商贸事务（款）招商引资（项）：指行政单位（包括实行公务员管理的事业单位）的商贸事务方面的基本支出。 </w:t>
      </w:r>
    </w:p>
    <w:p>
      <w:pPr>
        <w:pStyle w:val="13"/>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4.社会保障和就业（类）行政事业单位离退休（款）归口管理的行政单位离退休（项）：指实行归口管理的行政单位（包括实行公务员管理的事业单位）开支的离退休经费。 </w:t>
      </w:r>
    </w:p>
    <w:p>
      <w:pPr>
        <w:pStyle w:val="13"/>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5.社会保障和就业（类）行政事业单位离退休（款）其他行政事业单位离退休支出（项）：指其他用于行政事业单位离退休方面的支出。 </w:t>
      </w:r>
    </w:p>
    <w:p>
      <w:pPr>
        <w:pStyle w:val="13"/>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6.社会保障和就业（类）行政事业单位离退休（款）机关事业单位基本养老保险缴费支出（项）：指机关事业单位实行养老保险制度由单位缴纳的职工基本养老保险费支出。 </w:t>
      </w:r>
    </w:p>
    <w:p>
      <w:pPr>
        <w:pStyle w:val="13"/>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7.医疗卫生与计划生育支出（类）医疗保障（款）行政单位医疗（项）：指财政部门集中安排的行政单位基本医疗保险缴费经费。 </w:t>
      </w:r>
    </w:p>
    <w:p>
      <w:pPr>
        <w:pStyle w:val="13"/>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8.医疗卫生与计划生育支出（类）医疗保障（款）其他医疗保障支出（项）：指其他用于医疗保障方面的支出。 </w:t>
      </w:r>
    </w:p>
    <w:p>
      <w:pPr>
        <w:pStyle w:val="13"/>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9.节能环保支出（类）可再生能源（款）可再生能源（项）：指用于可再生能源方面的支出。 </w:t>
      </w:r>
    </w:p>
    <w:p>
      <w:pPr>
        <w:pStyle w:val="13"/>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10.城乡社区支出（类）城乡社区管理事务（款）行政运行（项）：指行政单位（包括实行公务员管理的事业单位）城乡社区管理事务的基本支出。 </w:t>
      </w:r>
    </w:p>
    <w:p>
      <w:pPr>
        <w:pStyle w:val="13"/>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11.城乡社区支出（类）城乡社区管理事务（款） 工程建设管理（项）：指调控建设市场运行、拟定建设市场法规、实施建筑工程质量、安全、工程勘察设计监管等方面的支出。 </w:t>
      </w:r>
    </w:p>
    <w:p>
      <w:pPr>
        <w:pStyle w:val="13"/>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12.城乡社区支出（类）城乡社区管理事务（款）住宅建设与房地产市场监管（项）:指调控房地产市场运行、研究拟定城镇祝福制度改革法规、对住房公积金和其他房改资金进行政策指导并监督使用等方面的支出。 </w:t>
      </w:r>
    </w:p>
    <w:p>
      <w:pPr>
        <w:pStyle w:val="13"/>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13.城乡社区支出（类）城乡社区管理事务（款）其他城乡社区管理事务支出（项）:指其他用于城乡社区管理事务方面的支出。 </w:t>
      </w:r>
    </w:p>
    <w:p>
      <w:pPr>
        <w:pStyle w:val="13"/>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14.城乡社区支出（类）城乡社区规划与管理（款）城乡社区规划与管理（项）:指城乡社区、名声风景区、防灾减灾、历史名称规划制定与管理等方面的支出。 </w:t>
      </w:r>
    </w:p>
    <w:p>
      <w:pPr>
        <w:pStyle w:val="13"/>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15.城乡社区支出（类）城乡社区环境卫生（款）城乡社区环境卫生（项）:指城乡社区道路清扫、垃圾清运与处理、公厕建设与维护、园林绿化等方面的支出。 </w:t>
      </w:r>
    </w:p>
    <w:p>
      <w:pPr>
        <w:pStyle w:val="13"/>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16.城乡社区支出（类）其他城乡社区支出（款）其他城乡社区支出（项）:指其他用于城乡社区方面的支出。 </w:t>
      </w:r>
    </w:p>
    <w:p>
      <w:pPr>
        <w:pStyle w:val="13"/>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17.农林水支出（类）其他农林水支出（款）其他农林水支出（项）:指化解除农村义务教育债务以外的乡村其他公益性债务支出。 </w:t>
      </w:r>
    </w:p>
    <w:p>
      <w:pPr>
        <w:pStyle w:val="13"/>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18.住房保障支出（类）住房改革支出（款）住房公积金（项）:指用于行政事业单位按照国家政策规定向职工发放住房公积金、提租补贴、购房补贴等。 </w:t>
      </w:r>
    </w:p>
    <w:p>
      <w:pPr>
        <w:pStyle w:val="13"/>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19.年末结转和结余：指本年度或以前年度预算安排、因客观条件发生变化无法按原计划实施，需延迟到以后年度按有关规定继续使用的资金。 </w:t>
      </w:r>
    </w:p>
    <w:p>
      <w:pPr>
        <w:pStyle w:val="13"/>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20.基本支出：指为保障机构正常运转、完成日常工作任务而发生的人员支出和公用支出。 </w:t>
      </w:r>
    </w:p>
    <w:p>
      <w:pPr>
        <w:pStyle w:val="13"/>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21.项目支出：指在基本支出之外为完成特定行政任务和事业发展目标所发生的支出。 </w:t>
      </w:r>
    </w:p>
    <w:p>
      <w:pPr>
        <w:pStyle w:val="13"/>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22.经营支出：指事业单位在专业业务活动及其辅助活动之外开展非独立核算经营活动发生的支出。 </w:t>
      </w:r>
    </w:p>
    <w:p>
      <w:pPr>
        <w:pStyle w:val="13"/>
        <w:keepNext w:val="0"/>
        <w:keepLines w:val="0"/>
        <w:widowControl/>
        <w:suppressLineNumbers w:val="0"/>
        <w:spacing w:before="0" w:beforeAutospacing="0" w:after="0" w:afterAutospacing="0"/>
        <w:ind w:left="0" w:right="0" w:firstLine="42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23.“三公”经费：纳入市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pStyle w:val="13"/>
        <w:keepNext w:val="0"/>
        <w:keepLines w:val="0"/>
        <w:widowControl/>
        <w:suppressLineNumbers w:val="0"/>
        <w:spacing w:before="0" w:beforeAutospacing="0" w:after="0" w:afterAutospacing="0"/>
        <w:ind w:left="0" w:right="0" w:firstLine="420"/>
        <w:jc w:val="left"/>
        <w:rPr>
          <w:sz w:val="32"/>
          <w:szCs w:val="32"/>
        </w:rPr>
      </w:pPr>
      <w:r>
        <w:rPr>
          <w:rFonts w:hint="eastAsia" w:ascii="仿宋_GB2312" w:hAnsi="仿宋_GB2312" w:eastAsia="仿宋_GB2312" w:cs="仿宋_GB2312"/>
          <w:color w:val="auto"/>
          <w:kern w:val="2"/>
          <w:sz w:val="32"/>
          <w:szCs w:val="32"/>
          <w:highlight w:val="none"/>
          <w:lang w:val="en-US" w:eastAsia="zh-CN" w:bidi="ar-SA"/>
        </w:rPr>
        <w:t xml:space="preserve">24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pageBreakBefore w:val="0"/>
        <w:kinsoku/>
        <w:wordWrap/>
        <w:overflowPunct/>
        <w:topLinePunct w:val="0"/>
        <w:bidi w:val="0"/>
        <w:spacing w:line="570" w:lineRule="exact"/>
        <w:jc w:val="center"/>
        <w:outlineLvl w:val="0"/>
        <w:rPr>
          <w:rFonts w:ascii="宋体"/>
          <w:b/>
          <w:color w:val="auto"/>
          <w:sz w:val="44"/>
          <w:szCs w:val="44"/>
          <w:highlight w:val="none"/>
        </w:rPr>
      </w:pPr>
      <w:r>
        <w:rPr>
          <w:rFonts w:ascii="宋体"/>
          <w:b/>
          <w:color w:val="auto"/>
          <w:sz w:val="44"/>
          <w:szCs w:val="44"/>
          <w:highlight w:val="none"/>
        </w:rPr>
        <w:br w:type="page"/>
      </w:r>
      <w:bookmarkStart w:id="55" w:name="_Toc16272"/>
    </w:p>
    <w:p>
      <w:pPr>
        <w:pageBreakBefore w:val="0"/>
        <w:kinsoku/>
        <w:wordWrap/>
        <w:overflowPunct/>
        <w:topLinePunct w:val="0"/>
        <w:bidi w:val="0"/>
        <w:spacing w:line="570" w:lineRule="exact"/>
        <w:jc w:val="center"/>
        <w:outlineLvl w:val="0"/>
        <w:rPr>
          <w:rFonts w:ascii="宋体"/>
          <w:b/>
          <w:color w:val="auto"/>
          <w:sz w:val="44"/>
          <w:szCs w:val="44"/>
          <w:highlight w:val="none"/>
        </w:rPr>
      </w:pPr>
    </w:p>
    <w:p>
      <w:pPr>
        <w:pageBreakBefore w:val="0"/>
        <w:kinsoku/>
        <w:wordWrap/>
        <w:overflowPunct/>
        <w:topLinePunct w:val="0"/>
        <w:bidi w:val="0"/>
        <w:spacing w:line="570" w:lineRule="exact"/>
        <w:jc w:val="center"/>
        <w:outlineLvl w:val="0"/>
        <w:rPr>
          <w:rStyle w:val="26"/>
          <w:rFonts w:ascii="黑体" w:hAnsi="黑体" w:eastAsia="黑体"/>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55"/>
    </w:p>
    <w:p>
      <w:pPr>
        <w:pageBreakBefore w:val="0"/>
        <w:kinsoku/>
        <w:wordWrap/>
        <w:overflowPunct/>
        <w:topLinePunct w:val="0"/>
        <w:bidi w:val="0"/>
        <w:spacing w:line="570" w:lineRule="exact"/>
        <w:jc w:val="center"/>
        <w:outlineLvl w:val="0"/>
        <w:rPr>
          <w:rStyle w:val="26"/>
          <w:color w:val="auto"/>
          <w:highlight w:val="none"/>
        </w:rPr>
      </w:pPr>
    </w:p>
    <w:p>
      <w:pPr>
        <w:pageBreakBefore w:val="0"/>
        <w:kinsoku/>
        <w:wordWrap/>
        <w:overflowPunct/>
        <w:topLinePunct w:val="0"/>
        <w:bidi w:val="0"/>
        <w:spacing w:line="570" w:lineRule="exact"/>
        <w:jc w:val="center"/>
        <w:outlineLvl w:val="0"/>
        <w:rPr>
          <w:rFonts w:hint="eastAsia" w:ascii="黑体" w:hAnsi="黑体" w:eastAsia="黑体" w:cs="方正小标宋简体"/>
          <w:color w:val="auto"/>
          <w:sz w:val="36"/>
          <w:szCs w:val="36"/>
          <w:highlight w:val="none"/>
          <w:lang w:eastAsia="zh-CN"/>
        </w:rPr>
      </w:pPr>
      <w:bookmarkStart w:id="56" w:name="_Toc28457"/>
      <w:bookmarkStart w:id="57" w:name="_Toc15396616"/>
      <w:r>
        <w:rPr>
          <w:rFonts w:hint="eastAsia" w:ascii="黑体" w:hAnsi="黑体" w:eastAsia="黑体" w:cs="方正小标宋简体"/>
          <w:color w:val="auto"/>
          <w:sz w:val="36"/>
          <w:szCs w:val="36"/>
          <w:highlight w:val="none"/>
          <w:lang w:eastAsia="zh-CN"/>
        </w:rPr>
        <w:t>达州市住房和城乡建设局</w:t>
      </w:r>
    </w:p>
    <w:p>
      <w:pPr>
        <w:pageBreakBefore w:val="0"/>
        <w:kinsoku/>
        <w:wordWrap/>
        <w:overflowPunct/>
        <w:topLinePunct w:val="0"/>
        <w:bidi w:val="0"/>
        <w:spacing w:line="570" w:lineRule="exact"/>
        <w:jc w:val="center"/>
        <w:outlineLvl w:val="0"/>
        <w:rPr>
          <w:rFonts w:ascii="黑体" w:hAnsi="黑体" w:eastAsia="黑体" w:cs="方正小标宋简体"/>
          <w:color w:val="auto"/>
          <w:sz w:val="36"/>
          <w:szCs w:val="36"/>
          <w:highlight w:val="none"/>
        </w:rPr>
      </w:pPr>
      <w:r>
        <w:rPr>
          <w:rFonts w:hint="eastAsia" w:ascii="黑体" w:hAnsi="黑体" w:eastAsia="黑体" w:cs="方正小标宋简体"/>
          <w:color w:val="auto"/>
          <w:sz w:val="36"/>
          <w:szCs w:val="36"/>
          <w:highlight w:val="none"/>
        </w:rPr>
        <w:t>2018年整体支出绩效评价报告</w:t>
      </w:r>
      <w:bookmarkEnd w:id="56"/>
      <w:bookmarkEnd w:id="57"/>
    </w:p>
    <w:p>
      <w:pPr>
        <w:pageBreakBefore w:val="0"/>
        <w:kinsoku/>
        <w:wordWrap/>
        <w:overflowPunct/>
        <w:topLinePunct w:val="0"/>
        <w:bidi w:val="0"/>
        <w:spacing w:line="570" w:lineRule="exact"/>
        <w:ind w:firstLine="640" w:firstLineChars="200"/>
        <w:rPr>
          <w:rFonts w:ascii="黑体" w:hAnsi="黑体" w:eastAsia="黑体" w:cs="黑体"/>
          <w:color w:val="auto"/>
          <w:sz w:val="32"/>
          <w:szCs w:val="32"/>
          <w:highlight w:val="none"/>
        </w:rPr>
      </w:pPr>
    </w:p>
    <w:p>
      <w:pPr>
        <w:pageBreakBefore w:val="0"/>
        <w:kinsoku/>
        <w:wordWrap/>
        <w:overflowPunct/>
        <w:topLinePunct w:val="0"/>
        <w:bidi w:val="0"/>
        <w:spacing w:line="57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一、部门（单位）概况</w:t>
      </w:r>
    </w:p>
    <w:p>
      <w:pPr>
        <w:pageBreakBefore w:val="0"/>
        <w:kinsoku/>
        <w:wordWrap/>
        <w:overflowPunct/>
        <w:topLinePunct w:val="0"/>
        <w:bidi w:val="0"/>
        <w:spacing w:line="570" w:lineRule="exact"/>
        <w:ind w:firstLine="640" w:firstLineChars="200"/>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（一）机构组成。</w:t>
      </w:r>
      <w:r>
        <w:rPr>
          <w:rFonts w:eastAsia="方正仿宋简体"/>
          <w:bCs/>
          <w:sz w:val="32"/>
          <w:szCs w:val="32"/>
        </w:rPr>
        <w:t>达州市住房和城乡建设局（简称市住房城乡建设局）是达州市人民政府的工作部门，为正处级。</w:t>
      </w:r>
    </w:p>
    <w:p>
      <w:pPr>
        <w:pageBreakBefore w:val="0"/>
        <w:kinsoku/>
        <w:wordWrap/>
        <w:overflowPunct/>
        <w:topLinePunct w:val="0"/>
        <w:bidi w:val="0"/>
        <w:spacing w:line="570" w:lineRule="exact"/>
        <w:ind w:firstLine="640" w:firstLineChars="200"/>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（二）机构职能。</w:t>
      </w:r>
      <w:r>
        <w:rPr>
          <w:rFonts w:hint="eastAsia" w:ascii="仿宋" w:hAnsi="仿宋" w:eastAsia="仿宋" w:cs="仿宋_GB2312"/>
          <w:color w:val="auto"/>
          <w:sz w:val="32"/>
          <w:szCs w:val="32"/>
          <w:highlight w:val="none"/>
          <w:lang w:eastAsia="zh-CN"/>
        </w:rPr>
        <w:t>达州</w:t>
      </w:r>
      <w:r>
        <w:rPr>
          <w:rFonts w:ascii="仿宋" w:hAnsi="仿宋" w:eastAsia="仿宋" w:cs="仿宋_GB2312"/>
          <w:color w:val="auto"/>
          <w:sz w:val="32"/>
          <w:szCs w:val="32"/>
          <w:highlight w:val="none"/>
        </w:rPr>
        <w:t>市住房城乡建设局的工作职能主要包括住房保障、城市建设、房产市场管理、建筑业发展、建筑市场管理、勘察设计管理、村镇建设管理、中心城区部分重点项目建设管理、政府性投资非经营性房屋项目代建，统筹推进新型城镇化等</w:t>
      </w:r>
      <w:r>
        <w:rPr>
          <w:rFonts w:hint="eastAsia" w:ascii="仿宋" w:hAnsi="仿宋" w:eastAsia="仿宋" w:cs="仿宋_GB2312"/>
          <w:color w:val="auto"/>
          <w:sz w:val="32"/>
          <w:szCs w:val="32"/>
          <w:highlight w:val="none"/>
        </w:rPr>
        <w:t>工作</w:t>
      </w:r>
      <w:r>
        <w:rPr>
          <w:rFonts w:ascii="仿宋" w:hAnsi="仿宋" w:eastAsia="仿宋" w:cs="仿宋_GB2312"/>
          <w:color w:val="auto"/>
          <w:sz w:val="32"/>
          <w:szCs w:val="32"/>
          <w:highlight w:val="none"/>
        </w:rPr>
        <w:t>，对各县（市、区）住房城乡建设行政主管部门</w:t>
      </w:r>
      <w:r>
        <w:rPr>
          <w:rFonts w:hint="eastAsia" w:ascii="仿宋" w:hAnsi="仿宋" w:eastAsia="仿宋" w:cs="仿宋_GB2312"/>
          <w:color w:val="auto"/>
          <w:sz w:val="32"/>
          <w:szCs w:val="32"/>
          <w:highlight w:val="none"/>
        </w:rPr>
        <w:t>进行</w:t>
      </w:r>
      <w:r>
        <w:rPr>
          <w:rFonts w:ascii="仿宋" w:hAnsi="仿宋" w:eastAsia="仿宋" w:cs="仿宋_GB2312"/>
          <w:color w:val="auto"/>
          <w:sz w:val="32"/>
          <w:szCs w:val="32"/>
          <w:highlight w:val="none"/>
        </w:rPr>
        <w:t>业务指导。</w:t>
      </w:r>
    </w:p>
    <w:p>
      <w:pPr>
        <w:spacing w:line="560" w:lineRule="exact"/>
        <w:ind w:firstLine="640" w:firstLineChars="200"/>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（三）人员概况。2018年</w:t>
      </w:r>
      <w:r>
        <w:rPr>
          <w:rFonts w:hint="eastAsia" w:ascii="仿宋" w:hAnsi="仿宋" w:eastAsia="仿宋" w:cs="仿宋_GB2312"/>
          <w:color w:val="auto"/>
          <w:sz w:val="32"/>
          <w:szCs w:val="32"/>
          <w:highlight w:val="none"/>
          <w:lang w:eastAsia="zh-CN"/>
        </w:rPr>
        <w:t>达州市住房城乡建设局</w:t>
      </w:r>
      <w:r>
        <w:rPr>
          <w:rFonts w:ascii="仿宋" w:hAnsi="仿宋" w:eastAsia="仿宋" w:cs="仿宋_GB2312"/>
          <w:color w:val="auto"/>
          <w:sz w:val="32"/>
          <w:szCs w:val="32"/>
          <w:highlight w:val="none"/>
        </w:rPr>
        <w:t>有党委班子成员</w:t>
      </w:r>
      <w:r>
        <w:rPr>
          <w:rFonts w:hint="eastAsia" w:ascii="仿宋" w:hAnsi="仿宋" w:eastAsia="仿宋" w:cs="仿宋_GB2312"/>
          <w:color w:val="auto"/>
          <w:sz w:val="32"/>
          <w:szCs w:val="32"/>
          <w:highlight w:val="none"/>
        </w:rPr>
        <w:t>9</w:t>
      </w:r>
      <w:r>
        <w:rPr>
          <w:rFonts w:ascii="仿宋" w:hAnsi="仿宋" w:eastAsia="仿宋" w:cs="仿宋_GB2312"/>
          <w:color w:val="auto"/>
          <w:sz w:val="32"/>
          <w:szCs w:val="32"/>
          <w:highlight w:val="none"/>
        </w:rPr>
        <w:t>人，其中，正副局长4人</w:t>
      </w: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机关党委书记、行业工会主席、总工程师各1名</w:t>
      </w:r>
      <w:r>
        <w:rPr>
          <w:rFonts w:hint="eastAsia" w:ascii="仿宋" w:hAnsi="仿宋" w:eastAsia="仿宋" w:cs="仿宋_GB2312"/>
          <w:color w:val="auto"/>
          <w:sz w:val="32"/>
          <w:szCs w:val="32"/>
          <w:highlight w:val="none"/>
        </w:rPr>
        <w:t>，局党委委员兼市代建中心主任、市房管局局长各1名</w:t>
      </w:r>
      <w:r>
        <w:rPr>
          <w:rFonts w:ascii="仿宋" w:hAnsi="仿宋" w:eastAsia="仿宋" w:cs="仿宋_GB2312"/>
          <w:color w:val="auto"/>
          <w:sz w:val="32"/>
          <w:szCs w:val="32"/>
          <w:highlight w:val="none"/>
        </w:rPr>
        <w:t>；调研员1人。内设科室11个，机关干部职工</w:t>
      </w:r>
      <w:r>
        <w:rPr>
          <w:rFonts w:hint="eastAsia" w:ascii="仿宋" w:hAnsi="仿宋" w:eastAsia="仿宋" w:cs="仿宋_GB2312"/>
          <w:color w:val="auto"/>
          <w:sz w:val="32"/>
          <w:szCs w:val="32"/>
          <w:highlight w:val="none"/>
        </w:rPr>
        <w:t>41</w:t>
      </w:r>
      <w:r>
        <w:rPr>
          <w:rFonts w:ascii="仿宋" w:hAnsi="仿宋" w:eastAsia="仿宋" w:cs="仿宋_GB2312"/>
          <w:color w:val="auto"/>
          <w:sz w:val="32"/>
          <w:szCs w:val="32"/>
          <w:highlight w:val="none"/>
        </w:rPr>
        <w:t>人。直属单位10个，干部职工343人。</w:t>
      </w:r>
    </w:p>
    <w:p>
      <w:pPr>
        <w:pageBreakBefore w:val="0"/>
        <w:kinsoku/>
        <w:wordWrap/>
        <w:overflowPunct/>
        <w:topLinePunct w:val="0"/>
        <w:bidi w:val="0"/>
        <w:spacing w:line="570" w:lineRule="exact"/>
        <w:ind w:firstLine="640" w:firstLineChars="200"/>
        <w:rPr>
          <w:rFonts w:ascii="黑体" w:hAnsi="黑体" w:eastAsia="黑体" w:cs="黑体"/>
          <w:color w:val="auto"/>
          <w:sz w:val="32"/>
          <w:szCs w:val="32"/>
          <w:highlight w:val="none"/>
        </w:rPr>
      </w:pPr>
      <w:r>
        <w:rPr>
          <w:rFonts w:ascii="黑体" w:hAnsi="黑体" w:eastAsia="黑体" w:cs="黑体"/>
          <w:color w:val="auto"/>
          <w:sz w:val="32"/>
          <w:szCs w:val="32"/>
          <w:highlight w:val="none"/>
        </w:rPr>
        <w:t>二、部门财政资金收支情况</w:t>
      </w:r>
    </w:p>
    <w:p>
      <w:pPr>
        <w:spacing w:line="560" w:lineRule="exact"/>
        <w:ind w:firstLine="640" w:firstLineChars="200"/>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（一）部门财政资金收入情况。</w:t>
      </w:r>
      <w:r>
        <w:rPr>
          <w:rFonts w:hint="eastAsia" w:ascii="仿宋" w:hAnsi="仿宋" w:eastAsia="仿宋" w:cs="仿宋_GB2312"/>
          <w:color w:val="auto"/>
          <w:sz w:val="32"/>
          <w:szCs w:val="32"/>
          <w:highlight w:val="none"/>
          <w:lang w:eastAsia="zh-CN"/>
        </w:rPr>
        <w:t>达州</w:t>
      </w:r>
      <w:r>
        <w:rPr>
          <w:rFonts w:ascii="仿宋" w:hAnsi="仿宋" w:eastAsia="仿宋" w:cs="仿宋_GB2312"/>
          <w:color w:val="auto"/>
          <w:sz w:val="32"/>
          <w:szCs w:val="32"/>
          <w:highlight w:val="none"/>
        </w:rPr>
        <w:t>市住房城乡建设局2018</w:t>
      </w:r>
      <w:r>
        <w:rPr>
          <w:rFonts w:hint="eastAsia" w:ascii="仿宋" w:hAnsi="仿宋" w:eastAsia="仿宋" w:cs="仿宋_GB2312"/>
          <w:color w:val="auto"/>
          <w:sz w:val="32"/>
          <w:szCs w:val="32"/>
          <w:highlight w:val="none"/>
        </w:rPr>
        <w:t>年财政资金收入总计</w:t>
      </w:r>
      <w:r>
        <w:rPr>
          <w:rFonts w:hint="eastAsia" w:ascii="仿宋" w:hAnsi="仿宋" w:eastAsia="仿宋" w:cs="仿宋_GB2312"/>
          <w:color w:val="auto"/>
          <w:sz w:val="32"/>
          <w:szCs w:val="32"/>
          <w:highlight w:val="none"/>
          <w:lang w:val="en-US" w:eastAsia="zh-CN"/>
        </w:rPr>
        <w:t>29844.60</w:t>
      </w:r>
      <w:r>
        <w:rPr>
          <w:rFonts w:hint="eastAsia" w:ascii="仿宋" w:hAnsi="仿宋" w:eastAsia="仿宋" w:cs="仿宋_GB2312"/>
          <w:color w:val="auto"/>
          <w:sz w:val="32"/>
          <w:szCs w:val="32"/>
          <w:highlight w:val="none"/>
        </w:rPr>
        <w:t>万元，其中：当年财政拨款收入</w:t>
      </w:r>
      <w:r>
        <w:rPr>
          <w:rFonts w:hint="eastAsia" w:ascii="仿宋" w:hAnsi="仿宋" w:eastAsia="仿宋" w:cs="仿宋_GB2312"/>
          <w:color w:val="auto"/>
          <w:sz w:val="32"/>
          <w:szCs w:val="32"/>
          <w:highlight w:val="none"/>
          <w:lang w:val="en-US" w:eastAsia="zh-CN"/>
        </w:rPr>
        <w:t>19762.15</w:t>
      </w:r>
      <w:r>
        <w:rPr>
          <w:rFonts w:hint="eastAsia" w:ascii="仿宋" w:hAnsi="仿宋" w:eastAsia="仿宋" w:cs="仿宋_GB2312"/>
          <w:color w:val="auto"/>
          <w:sz w:val="32"/>
          <w:szCs w:val="32"/>
          <w:highlight w:val="none"/>
        </w:rPr>
        <w:t>万元，上年结转收入</w:t>
      </w:r>
      <w:r>
        <w:rPr>
          <w:rFonts w:hint="eastAsia" w:ascii="仿宋" w:hAnsi="仿宋" w:eastAsia="仿宋" w:cs="仿宋_GB2312"/>
          <w:color w:val="auto"/>
          <w:sz w:val="32"/>
          <w:szCs w:val="32"/>
          <w:highlight w:val="none"/>
          <w:lang w:val="en-US" w:eastAsia="zh-CN"/>
        </w:rPr>
        <w:t>10082.45</w:t>
      </w:r>
      <w:r>
        <w:rPr>
          <w:rFonts w:hint="eastAsia" w:ascii="仿宋" w:hAnsi="仿宋" w:eastAsia="仿宋" w:cs="仿宋_GB2312"/>
          <w:color w:val="auto"/>
          <w:sz w:val="32"/>
          <w:szCs w:val="32"/>
          <w:highlight w:val="none"/>
        </w:rPr>
        <w:t>万元。</w:t>
      </w:r>
    </w:p>
    <w:p>
      <w:pPr>
        <w:pageBreakBefore w:val="0"/>
        <w:kinsoku/>
        <w:wordWrap/>
        <w:overflowPunct/>
        <w:topLinePunct w:val="0"/>
        <w:bidi w:val="0"/>
        <w:spacing w:line="570" w:lineRule="exact"/>
        <w:ind w:firstLine="640" w:firstLineChars="200"/>
        <w:rPr>
          <w:rFonts w:hint="eastAsia" w:ascii="仿宋" w:hAnsi="仿宋" w:eastAsia="仿宋_GB2312" w:cs="仿宋_GB2312"/>
          <w:color w:val="auto"/>
          <w:sz w:val="32"/>
          <w:szCs w:val="32"/>
          <w:highlight w:val="none"/>
          <w:lang w:eastAsia="zh-CN"/>
        </w:rPr>
      </w:pPr>
      <w:r>
        <w:rPr>
          <w:rFonts w:ascii="仿宋" w:hAnsi="仿宋" w:eastAsia="仿宋" w:cs="仿宋_GB2312"/>
          <w:color w:val="auto"/>
          <w:sz w:val="32"/>
          <w:szCs w:val="32"/>
          <w:highlight w:val="none"/>
        </w:rPr>
        <w:t>（二）部门财政资金支出情况。</w:t>
      </w:r>
      <w:r>
        <w:rPr>
          <w:rFonts w:hint="eastAsia" w:ascii="仿宋" w:hAnsi="仿宋" w:eastAsia="仿宋" w:cs="仿宋_GB2312"/>
          <w:color w:val="auto"/>
          <w:sz w:val="32"/>
          <w:szCs w:val="32"/>
          <w:highlight w:val="none"/>
          <w:lang w:eastAsia="zh-CN"/>
        </w:rPr>
        <w:t>达州</w:t>
      </w:r>
      <w:r>
        <w:rPr>
          <w:rFonts w:ascii="仿宋" w:hAnsi="仿宋" w:eastAsia="仿宋" w:cs="仿宋_GB2312"/>
          <w:color w:val="auto"/>
          <w:sz w:val="32"/>
          <w:szCs w:val="32"/>
          <w:highlight w:val="none"/>
        </w:rPr>
        <w:t>市住房城乡建设局</w:t>
      </w:r>
      <w:r>
        <w:rPr>
          <w:rFonts w:ascii="仿宋_GB2312" w:hAnsi="仿宋" w:eastAsia="仿宋_GB2312"/>
          <w:sz w:val="32"/>
          <w:szCs w:val="32"/>
        </w:rPr>
        <w:t>2018</w:t>
      </w:r>
      <w:r>
        <w:rPr>
          <w:rFonts w:hint="eastAsia" w:ascii="仿宋_GB2312" w:hAnsi="仿宋" w:eastAsia="仿宋_GB2312"/>
          <w:sz w:val="32"/>
          <w:szCs w:val="32"/>
        </w:rPr>
        <w:t>年财政资金</w:t>
      </w:r>
      <w:r>
        <w:rPr>
          <w:rFonts w:hint="eastAsia" w:ascii="仿宋_GB2312" w:hAnsi="仿宋" w:eastAsia="仿宋_GB2312"/>
          <w:sz w:val="32"/>
          <w:szCs w:val="32"/>
          <w:lang w:eastAsia="zh-CN"/>
        </w:rPr>
        <w:t>支出</w:t>
      </w:r>
      <w:r>
        <w:rPr>
          <w:rFonts w:hint="eastAsia" w:ascii="仿宋_GB2312" w:hAnsi="仿宋" w:eastAsia="仿宋_GB2312"/>
          <w:sz w:val="32"/>
          <w:szCs w:val="32"/>
        </w:rPr>
        <w:t>总计</w:t>
      </w:r>
      <w:r>
        <w:rPr>
          <w:rFonts w:hint="eastAsia" w:ascii="仿宋_GB2312" w:hAnsi="仿宋" w:eastAsia="仿宋_GB2312"/>
          <w:sz w:val="32"/>
          <w:szCs w:val="32"/>
          <w:lang w:val="en-US" w:eastAsia="zh-CN"/>
        </w:rPr>
        <w:t>29844.60</w:t>
      </w:r>
      <w:r>
        <w:rPr>
          <w:rFonts w:hint="eastAsia" w:ascii="仿宋_GB2312" w:hAnsi="仿宋" w:eastAsia="仿宋_GB2312"/>
          <w:sz w:val="32"/>
          <w:szCs w:val="32"/>
        </w:rPr>
        <w:t>万元，其中：当年财政拨款</w:t>
      </w:r>
      <w:r>
        <w:rPr>
          <w:rFonts w:hint="eastAsia" w:ascii="仿宋_GB2312" w:hAnsi="仿宋" w:eastAsia="仿宋_GB2312"/>
          <w:sz w:val="32"/>
          <w:szCs w:val="32"/>
          <w:lang w:eastAsia="zh-CN"/>
        </w:rPr>
        <w:t>支出</w:t>
      </w:r>
      <w:r>
        <w:rPr>
          <w:rFonts w:hint="eastAsia" w:ascii="仿宋_GB2312" w:hAnsi="仿宋" w:eastAsia="仿宋_GB2312"/>
          <w:sz w:val="32"/>
          <w:szCs w:val="32"/>
          <w:lang w:val="en-US" w:eastAsia="zh-CN"/>
        </w:rPr>
        <w:t>18624.26</w:t>
      </w:r>
      <w:r>
        <w:rPr>
          <w:rFonts w:hint="eastAsia" w:ascii="仿宋_GB2312" w:hAnsi="仿宋" w:eastAsia="仿宋_GB2312"/>
          <w:sz w:val="32"/>
          <w:szCs w:val="32"/>
        </w:rPr>
        <w:t>万元，年</w:t>
      </w:r>
      <w:r>
        <w:rPr>
          <w:rFonts w:hint="eastAsia" w:ascii="仿宋_GB2312" w:hAnsi="仿宋" w:eastAsia="仿宋_GB2312"/>
          <w:sz w:val="32"/>
          <w:szCs w:val="32"/>
          <w:lang w:eastAsia="zh-CN"/>
        </w:rPr>
        <w:t>末</w:t>
      </w:r>
      <w:r>
        <w:rPr>
          <w:rFonts w:hint="eastAsia" w:ascii="仿宋_GB2312" w:hAnsi="仿宋" w:eastAsia="仿宋_GB2312"/>
          <w:sz w:val="32"/>
          <w:szCs w:val="32"/>
        </w:rPr>
        <w:t>结转</w:t>
      </w:r>
      <w:r>
        <w:rPr>
          <w:rFonts w:hint="eastAsia" w:ascii="仿宋_GB2312" w:hAnsi="仿宋" w:eastAsia="仿宋_GB2312"/>
          <w:sz w:val="32"/>
          <w:szCs w:val="32"/>
          <w:lang w:eastAsia="zh-CN"/>
        </w:rPr>
        <w:t>支出</w:t>
      </w:r>
      <w:r>
        <w:rPr>
          <w:rFonts w:hint="eastAsia" w:ascii="仿宋_GB2312" w:hAnsi="仿宋" w:eastAsia="仿宋_GB2312"/>
          <w:sz w:val="32"/>
          <w:szCs w:val="32"/>
          <w:lang w:val="en-US" w:eastAsia="zh-CN"/>
        </w:rPr>
        <w:t>11220.34</w:t>
      </w:r>
      <w:r>
        <w:rPr>
          <w:rFonts w:hint="eastAsia" w:ascii="仿宋_GB2312" w:hAnsi="仿宋" w:eastAsia="仿宋_GB2312"/>
          <w:sz w:val="32"/>
          <w:szCs w:val="32"/>
        </w:rPr>
        <w:t>万元。</w:t>
      </w:r>
    </w:p>
    <w:p>
      <w:pPr>
        <w:pageBreakBefore w:val="0"/>
        <w:kinsoku/>
        <w:wordWrap/>
        <w:overflowPunct/>
        <w:topLinePunct w:val="0"/>
        <w:bidi w:val="0"/>
        <w:spacing w:line="570" w:lineRule="exact"/>
        <w:ind w:firstLine="640" w:firstLineChars="200"/>
        <w:rPr>
          <w:rFonts w:ascii="黑体" w:hAnsi="黑体" w:eastAsia="黑体" w:cs="黑体"/>
          <w:color w:val="auto"/>
          <w:sz w:val="32"/>
          <w:szCs w:val="32"/>
          <w:highlight w:val="none"/>
        </w:rPr>
      </w:pPr>
      <w:r>
        <w:rPr>
          <w:rFonts w:ascii="黑体" w:hAnsi="黑体" w:eastAsia="黑体" w:cs="黑体"/>
          <w:color w:val="auto"/>
          <w:sz w:val="32"/>
          <w:szCs w:val="32"/>
          <w:highlight w:val="none"/>
        </w:rPr>
        <w:t>三、部门整体预算绩效管理情况</w:t>
      </w:r>
    </w:p>
    <w:p>
      <w:pPr>
        <w:pageBreakBefore w:val="0"/>
        <w:kinsoku/>
        <w:wordWrap/>
        <w:overflowPunct/>
        <w:topLinePunct w:val="0"/>
        <w:bidi w:val="0"/>
        <w:spacing w:line="570" w:lineRule="exact"/>
        <w:ind w:firstLine="640" w:firstLineChars="200"/>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（一）部门预算管理。</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、预算测算依据。</w:t>
      </w:r>
      <w:r>
        <w:rPr>
          <w:rFonts w:hint="eastAsia" w:ascii="仿宋_GB2312" w:hAnsi="仿宋" w:eastAsia="仿宋_GB2312"/>
          <w:sz w:val="32"/>
          <w:szCs w:val="32"/>
          <w:lang w:eastAsia="zh-CN"/>
        </w:rPr>
        <w:t>达州</w:t>
      </w:r>
      <w:r>
        <w:rPr>
          <w:rFonts w:ascii="仿宋" w:hAnsi="仿宋" w:eastAsia="仿宋" w:cs="仿宋_GB2312"/>
          <w:color w:val="auto"/>
          <w:sz w:val="32"/>
          <w:szCs w:val="32"/>
          <w:highlight w:val="none"/>
        </w:rPr>
        <w:t>市住房城乡建设局</w:t>
      </w:r>
      <w:r>
        <w:rPr>
          <w:rFonts w:hint="eastAsia" w:ascii="仿宋_GB2312" w:hAnsi="仿宋" w:eastAsia="仿宋_GB2312"/>
          <w:sz w:val="32"/>
          <w:szCs w:val="32"/>
        </w:rPr>
        <w:t>按照按照《达州市财政局关于编制市级部门</w:t>
      </w:r>
      <w:r>
        <w:rPr>
          <w:rFonts w:ascii="仿宋_GB2312" w:hAnsi="仿宋" w:eastAsia="仿宋_GB2312"/>
          <w:sz w:val="32"/>
          <w:szCs w:val="32"/>
        </w:rPr>
        <w:t>2018-2019</w:t>
      </w:r>
      <w:r>
        <w:rPr>
          <w:rFonts w:hint="eastAsia" w:ascii="仿宋_GB2312" w:hAnsi="仿宋" w:eastAsia="仿宋_GB2312"/>
          <w:sz w:val="32"/>
          <w:szCs w:val="32"/>
        </w:rPr>
        <w:t>年三年滚动财政规划和</w:t>
      </w:r>
      <w:r>
        <w:rPr>
          <w:rFonts w:ascii="仿宋_GB2312" w:hAnsi="仿宋" w:eastAsia="仿宋_GB2312"/>
          <w:sz w:val="32"/>
          <w:szCs w:val="32"/>
        </w:rPr>
        <w:t>2018</w:t>
      </w:r>
      <w:r>
        <w:rPr>
          <w:rFonts w:hint="eastAsia" w:ascii="仿宋_GB2312" w:hAnsi="仿宋" w:eastAsia="仿宋_GB2312"/>
          <w:sz w:val="32"/>
          <w:szCs w:val="32"/>
        </w:rPr>
        <w:t>年部门预算的通知》要求，结合</w:t>
      </w:r>
      <w:r>
        <w:rPr>
          <w:rFonts w:ascii="仿宋_GB2312" w:hAnsi="仿宋" w:eastAsia="仿宋_GB2312"/>
          <w:sz w:val="32"/>
          <w:szCs w:val="32"/>
        </w:rPr>
        <w:t>2018</w:t>
      </w:r>
      <w:r>
        <w:rPr>
          <w:rFonts w:hint="eastAsia" w:ascii="仿宋_GB2312" w:hAnsi="仿宋" w:eastAsia="仿宋_GB2312"/>
          <w:sz w:val="32"/>
          <w:szCs w:val="32"/>
        </w:rPr>
        <w:t>年重点工作安排和</w:t>
      </w:r>
      <w:r>
        <w:rPr>
          <w:rFonts w:ascii="仿宋_GB2312" w:hAnsi="仿宋" w:eastAsia="仿宋_GB2312"/>
          <w:sz w:val="32"/>
          <w:szCs w:val="32"/>
        </w:rPr>
        <w:t>2017</w:t>
      </w:r>
      <w:r>
        <w:rPr>
          <w:rFonts w:hint="eastAsia" w:ascii="仿宋_GB2312" w:hAnsi="仿宋" w:eastAsia="仿宋_GB2312"/>
          <w:sz w:val="32"/>
          <w:szCs w:val="32"/>
        </w:rPr>
        <w:t>年度各项目实际执行情况，对项目支出分通用项目和专用项目编制了绩效目标。严格规范公用经费和项目支出，通用项目与专用项目的支出边界和支出范围，严格执行会议费、培训费、差旅费、接待费的相关规定和标准，加强一般性支出控制力度，严格三公经费管理，严禁超标准和范围支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）目标管理。</w:t>
      </w:r>
      <w:r>
        <w:rPr>
          <w:rFonts w:hint="eastAsia" w:ascii="仿宋_GB2312" w:hAnsi="仿宋" w:eastAsia="仿宋_GB2312"/>
          <w:sz w:val="32"/>
          <w:szCs w:val="32"/>
          <w:lang w:eastAsia="zh-CN"/>
        </w:rPr>
        <w:t>达州</w:t>
      </w:r>
      <w:r>
        <w:rPr>
          <w:rFonts w:ascii="仿宋" w:hAnsi="仿宋" w:eastAsia="仿宋" w:cs="仿宋_GB2312"/>
          <w:color w:val="auto"/>
          <w:sz w:val="32"/>
          <w:szCs w:val="32"/>
          <w:highlight w:val="none"/>
        </w:rPr>
        <w:t>市住房城乡建设局</w:t>
      </w:r>
      <w:r>
        <w:rPr>
          <w:rFonts w:hint="eastAsia" w:ascii="仿宋_GB2312" w:hAnsi="仿宋" w:eastAsia="仿宋_GB2312"/>
          <w:sz w:val="32"/>
          <w:szCs w:val="32"/>
        </w:rPr>
        <w:t>在规定时间内编制了绩效目标并报送达州市财政局。</w:t>
      </w:r>
    </w:p>
    <w:p>
      <w:pPr>
        <w:pageBreakBefore w:val="0"/>
        <w:kinsoku/>
        <w:wordWrap/>
        <w:overflowPunct/>
        <w:topLinePunct w:val="0"/>
        <w:bidi w:val="0"/>
        <w:spacing w:line="570" w:lineRule="exact"/>
        <w:ind w:firstLine="640" w:firstLineChars="200"/>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（二）专项预算管理。</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部门支出绩效</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）单位运转保障</w:t>
      </w:r>
      <w:r>
        <w:rPr>
          <w:rFonts w:hint="eastAsia" w:ascii="仿宋_GB2312" w:hAnsi="仿宋" w:eastAsia="仿宋_GB2312"/>
          <w:sz w:val="32"/>
          <w:szCs w:val="32"/>
          <w:lang w:eastAsia="zh-CN"/>
        </w:rPr>
        <w:t>。</w:t>
      </w:r>
      <w:r>
        <w:rPr>
          <w:rFonts w:hint="eastAsia" w:ascii="仿宋_GB2312" w:hAnsi="仿宋" w:eastAsia="仿宋_GB2312"/>
          <w:sz w:val="32"/>
          <w:szCs w:val="32"/>
        </w:rPr>
        <w:t>总体来看，</w:t>
      </w:r>
      <w:r>
        <w:rPr>
          <w:rFonts w:hint="eastAsia" w:ascii="仿宋_GB2312" w:hAnsi="仿宋" w:eastAsia="仿宋_GB2312"/>
          <w:sz w:val="32"/>
          <w:szCs w:val="32"/>
          <w:lang w:val="en-US" w:eastAsia="zh-CN"/>
        </w:rPr>
        <w:t>2017年</w:t>
      </w:r>
      <w:r>
        <w:rPr>
          <w:rFonts w:hint="eastAsia" w:ascii="仿宋_GB2312" w:hAnsi="仿宋" w:eastAsia="仿宋_GB2312"/>
          <w:sz w:val="32"/>
          <w:szCs w:val="32"/>
        </w:rPr>
        <w:t>基本支出和运转类专项保障了机关正常运转，确保了</w:t>
      </w:r>
      <w:r>
        <w:rPr>
          <w:rFonts w:hint="eastAsia" w:ascii="仿宋_GB2312" w:hAnsi="仿宋" w:eastAsia="仿宋_GB2312"/>
          <w:sz w:val="32"/>
          <w:szCs w:val="32"/>
          <w:lang w:eastAsia="zh-CN"/>
        </w:rPr>
        <w:t>达州市住房城乡建设局</w:t>
      </w:r>
      <w:r>
        <w:rPr>
          <w:rFonts w:hint="eastAsia" w:ascii="仿宋_GB2312" w:hAnsi="仿宋" w:eastAsia="仿宋_GB2312"/>
          <w:sz w:val="32"/>
          <w:szCs w:val="32"/>
        </w:rPr>
        <w:t>履行职能职责。</w:t>
      </w:r>
      <w:r>
        <w:rPr>
          <w:rFonts w:ascii="仿宋_GB2312" w:hAnsi="仿宋" w:eastAsia="仿宋_GB2312"/>
          <w:sz w:val="32"/>
          <w:szCs w:val="32"/>
        </w:rPr>
        <w:t>2018</w:t>
      </w:r>
      <w:r>
        <w:rPr>
          <w:rFonts w:hint="eastAsia" w:ascii="仿宋_GB2312" w:hAnsi="仿宋" w:eastAsia="仿宋_GB2312"/>
          <w:sz w:val="32"/>
          <w:szCs w:val="32"/>
        </w:rPr>
        <w:t>年，</w:t>
      </w:r>
      <w:r>
        <w:rPr>
          <w:rFonts w:hint="eastAsia" w:ascii="仿宋_GB2312" w:hAnsi="仿宋" w:eastAsia="仿宋_GB2312"/>
          <w:sz w:val="32"/>
          <w:szCs w:val="32"/>
          <w:lang w:eastAsia="zh-CN"/>
        </w:rPr>
        <w:t>达州市住房城乡建设局</w:t>
      </w:r>
      <w:r>
        <w:rPr>
          <w:rFonts w:hint="eastAsia" w:ascii="仿宋_GB2312" w:hAnsi="仿宋" w:eastAsia="仿宋_GB2312"/>
          <w:sz w:val="32"/>
          <w:szCs w:val="32"/>
        </w:rPr>
        <w:t>认真落实市委、市政府决策部署，以</w:t>
      </w:r>
      <w:r>
        <w:rPr>
          <w:rFonts w:hint="eastAsia" w:ascii="仿宋_GB2312" w:hAnsi="仿宋" w:eastAsia="仿宋_GB2312"/>
          <w:sz w:val="32"/>
          <w:szCs w:val="32"/>
          <w:lang w:eastAsia="zh-CN"/>
        </w:rPr>
        <w:t>推进场面乡建设，</w:t>
      </w:r>
      <w:r>
        <w:rPr>
          <w:rFonts w:hint="eastAsia" w:ascii="仿宋_GB2312" w:hAnsi="仿宋" w:eastAsia="仿宋_GB2312"/>
          <w:sz w:val="32"/>
          <w:szCs w:val="32"/>
        </w:rPr>
        <w:t>做好优质服务、廉政高效化为抓手，圆满完成了各项工作任务，认真履行了职能职责。</w:t>
      </w:r>
    </w:p>
    <w:p>
      <w:pPr>
        <w:spacing w:line="560" w:lineRule="exact"/>
        <w:ind w:firstLine="640" w:firstLineChars="200"/>
        <w:rPr>
          <w:rFonts w:hint="eastAsia" w:ascii="仿宋" w:hAnsi="仿宋" w:eastAsia="仿宋"/>
          <w:color w:val="auto"/>
          <w:sz w:val="32"/>
          <w:szCs w:val="32"/>
          <w:highlight w:val="none"/>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）三公支出</w:t>
      </w:r>
      <w:r>
        <w:rPr>
          <w:rFonts w:hint="eastAsia" w:ascii="仿宋_GB2312" w:hAnsi="仿宋" w:eastAsia="仿宋_GB2312"/>
          <w:sz w:val="32"/>
          <w:szCs w:val="32"/>
          <w:lang w:eastAsia="zh-CN"/>
        </w:rPr>
        <w:t>。</w:t>
      </w:r>
      <w:r>
        <w:rPr>
          <w:rFonts w:ascii="仿宋" w:hAnsi="仿宋" w:eastAsia="仿宋"/>
          <w:color w:val="auto"/>
          <w:sz w:val="32"/>
          <w:szCs w:val="32"/>
          <w:highlight w:val="none"/>
        </w:rPr>
        <w:t>201</w:t>
      </w:r>
      <w:r>
        <w:rPr>
          <w:rFonts w:hint="eastAsia" w:ascii="仿宋" w:hAnsi="仿宋" w:eastAsia="仿宋"/>
          <w:color w:val="auto"/>
          <w:sz w:val="32"/>
          <w:szCs w:val="32"/>
          <w:highlight w:val="none"/>
        </w:rPr>
        <w:t>8年“三公”经费财政拨款支出决算为</w:t>
      </w:r>
      <w:r>
        <w:rPr>
          <w:rFonts w:hint="eastAsia" w:ascii="仿宋" w:hAnsi="仿宋" w:eastAsia="仿宋"/>
          <w:color w:val="auto"/>
          <w:sz w:val="32"/>
          <w:szCs w:val="32"/>
          <w:highlight w:val="none"/>
          <w:lang w:val="en-US" w:eastAsia="zh-CN"/>
        </w:rPr>
        <w:t>9.5</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eastAsia="zh-CN"/>
        </w:rPr>
        <w:t>的</w:t>
      </w:r>
      <w:r>
        <w:rPr>
          <w:rFonts w:hint="eastAsia" w:ascii="仿宋" w:hAnsi="仿宋" w:eastAsia="仿宋"/>
          <w:color w:val="auto"/>
          <w:sz w:val="32"/>
          <w:szCs w:val="32"/>
          <w:highlight w:val="none"/>
          <w:lang w:val="en-US" w:eastAsia="zh-CN"/>
        </w:rPr>
        <w:t>52.78</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，决算数小于预算数</w:t>
      </w:r>
      <w:r>
        <w:rPr>
          <w:rFonts w:hint="eastAsia" w:ascii="仿宋" w:hAnsi="仿宋" w:eastAsia="仿宋"/>
          <w:color w:val="auto"/>
          <w:sz w:val="32"/>
          <w:szCs w:val="32"/>
          <w:highlight w:val="none"/>
          <w:lang w:val="en-US" w:eastAsia="zh-CN"/>
        </w:rPr>
        <w:t>8.5万元</w:t>
      </w:r>
      <w:r>
        <w:rPr>
          <w:rFonts w:hint="eastAsia" w:ascii="仿宋" w:hAnsi="仿宋" w:eastAsia="仿宋"/>
          <w:color w:val="auto"/>
          <w:sz w:val="32"/>
          <w:szCs w:val="32"/>
          <w:highlight w:val="none"/>
        </w:rPr>
        <w:t>的主要原因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因公出国（境）经费支出</w:t>
      </w:r>
      <w:r>
        <w:rPr>
          <w:rFonts w:hint="eastAsia" w:ascii="仿宋" w:hAnsi="仿宋" w:eastAsia="仿宋"/>
          <w:color w:val="auto"/>
          <w:sz w:val="32"/>
          <w:szCs w:val="32"/>
          <w:highlight w:val="none"/>
          <w:lang w:eastAsia="zh-CN"/>
        </w:rPr>
        <w:t>决算数少于预算数</w:t>
      </w:r>
      <w:r>
        <w:rPr>
          <w:rFonts w:hint="eastAsia" w:ascii="仿宋" w:hAnsi="仿宋" w:eastAsia="仿宋"/>
          <w:color w:val="auto"/>
          <w:sz w:val="32"/>
          <w:szCs w:val="32"/>
          <w:highlight w:val="none"/>
          <w:lang w:val="en-US" w:eastAsia="zh-CN"/>
        </w:rPr>
        <w:t>3.04万元，</w:t>
      </w:r>
      <w:r>
        <w:rPr>
          <w:rFonts w:hint="eastAsia" w:ascii="仿宋" w:hAnsi="仿宋" w:eastAsia="仿宋"/>
          <w:color w:val="auto"/>
          <w:sz w:val="32"/>
          <w:szCs w:val="32"/>
          <w:highlight w:val="none"/>
          <w:lang w:eastAsia="zh-CN"/>
        </w:rPr>
        <w:t>公务接待支出决算数少于预算数</w:t>
      </w:r>
      <w:r>
        <w:rPr>
          <w:rFonts w:hint="eastAsia" w:ascii="仿宋" w:hAnsi="仿宋" w:eastAsia="仿宋"/>
          <w:color w:val="auto"/>
          <w:sz w:val="32"/>
          <w:szCs w:val="32"/>
          <w:highlight w:val="none"/>
          <w:lang w:val="en-US" w:eastAsia="zh-CN"/>
        </w:rPr>
        <w:t>5.46万元。从因公出国（境）看，</w:t>
      </w:r>
      <w:r>
        <w:rPr>
          <w:rFonts w:hint="eastAsia" w:ascii="仿宋" w:hAnsi="仿宋" w:eastAsia="仿宋"/>
          <w:color w:val="auto"/>
          <w:sz w:val="32"/>
          <w:szCs w:val="32"/>
          <w:highlight w:val="none"/>
        </w:rPr>
        <w:t>经费支出</w:t>
      </w:r>
      <w:r>
        <w:rPr>
          <w:rFonts w:hint="eastAsia" w:ascii="仿宋" w:hAnsi="仿宋" w:eastAsia="仿宋"/>
          <w:color w:val="auto"/>
          <w:sz w:val="32"/>
          <w:szCs w:val="32"/>
          <w:highlight w:val="none"/>
          <w:lang w:val="en-US" w:eastAsia="zh-CN"/>
        </w:rPr>
        <w:t>1.96</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39.2</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从</w:t>
      </w:r>
      <w:r>
        <w:rPr>
          <w:rFonts w:hint="eastAsia" w:ascii="仿宋" w:hAnsi="仿宋" w:eastAsia="仿宋"/>
          <w:color w:val="auto"/>
          <w:sz w:val="32"/>
          <w:szCs w:val="32"/>
          <w:highlight w:val="none"/>
        </w:rPr>
        <w:t>公务用车</w:t>
      </w:r>
      <w:r>
        <w:rPr>
          <w:rFonts w:hint="eastAsia" w:ascii="仿宋" w:hAnsi="仿宋" w:eastAsia="仿宋"/>
          <w:color w:val="auto"/>
          <w:sz w:val="32"/>
          <w:szCs w:val="32"/>
          <w:highlight w:val="none"/>
          <w:lang w:eastAsia="zh-CN"/>
        </w:rPr>
        <w:t>维护看，</w:t>
      </w:r>
      <w:r>
        <w:rPr>
          <w:rFonts w:hint="eastAsia" w:ascii="仿宋" w:hAnsi="仿宋" w:eastAsia="仿宋"/>
          <w:color w:val="auto"/>
          <w:sz w:val="32"/>
          <w:szCs w:val="32"/>
          <w:highlight w:val="none"/>
        </w:rPr>
        <w:t>运行维护费支出</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从</w:t>
      </w:r>
      <w:r>
        <w:rPr>
          <w:rFonts w:hint="eastAsia" w:ascii="仿宋" w:hAnsi="仿宋" w:eastAsia="仿宋"/>
          <w:color w:val="auto"/>
          <w:sz w:val="32"/>
          <w:szCs w:val="32"/>
          <w:highlight w:val="none"/>
        </w:rPr>
        <w:t>公务接待</w:t>
      </w:r>
      <w:r>
        <w:rPr>
          <w:rFonts w:hint="eastAsia" w:ascii="仿宋" w:hAnsi="仿宋" w:eastAsia="仿宋"/>
          <w:color w:val="auto"/>
          <w:sz w:val="32"/>
          <w:szCs w:val="32"/>
          <w:highlight w:val="none"/>
          <w:lang w:eastAsia="zh-CN"/>
        </w:rPr>
        <w:t>看，</w:t>
      </w:r>
      <w:r>
        <w:rPr>
          <w:rFonts w:hint="eastAsia" w:ascii="仿宋" w:hAnsi="仿宋" w:eastAsia="仿宋"/>
          <w:color w:val="auto"/>
          <w:sz w:val="32"/>
          <w:szCs w:val="32"/>
          <w:highlight w:val="none"/>
        </w:rPr>
        <w:t>费支出</w:t>
      </w:r>
      <w:r>
        <w:rPr>
          <w:rFonts w:hint="eastAsia" w:ascii="仿宋" w:hAnsi="仿宋" w:eastAsia="仿宋"/>
          <w:color w:val="auto"/>
          <w:sz w:val="32"/>
          <w:szCs w:val="32"/>
          <w:highlight w:val="none"/>
          <w:lang w:val="en-US" w:eastAsia="zh-CN"/>
        </w:rPr>
        <w:t>3.54</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39.33</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三公经费下降，表明市住房城乡建设局</w:t>
      </w:r>
      <w:r>
        <w:rPr>
          <w:rFonts w:hint="eastAsia" w:ascii="仿宋" w:hAnsi="仿宋" w:eastAsia="仿宋"/>
          <w:color w:val="auto"/>
          <w:sz w:val="32"/>
          <w:szCs w:val="32"/>
          <w:highlight w:val="none"/>
        </w:rPr>
        <w:t>认真执行厉行节约相关规章制度，严格控制和压缩“三公经费”支出。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）单位节能降耗</w:t>
      </w:r>
      <w:r>
        <w:rPr>
          <w:rFonts w:hint="eastAsia" w:ascii="仿宋_GB2312" w:hAnsi="仿宋" w:eastAsia="仿宋_GB2312"/>
          <w:sz w:val="32"/>
          <w:szCs w:val="32"/>
          <w:lang w:eastAsia="zh-CN"/>
        </w:rPr>
        <w:t>。</w:t>
      </w:r>
      <w:r>
        <w:rPr>
          <w:rFonts w:hint="eastAsia" w:ascii="仿宋_GB2312" w:hAnsi="仿宋" w:eastAsia="仿宋_GB2312"/>
          <w:sz w:val="32"/>
          <w:szCs w:val="32"/>
        </w:rPr>
        <w:t>达州市</w:t>
      </w:r>
      <w:r>
        <w:rPr>
          <w:rFonts w:hint="eastAsia" w:ascii="仿宋_GB2312" w:hAnsi="仿宋" w:eastAsia="仿宋_GB2312"/>
          <w:sz w:val="32"/>
          <w:szCs w:val="32"/>
          <w:lang w:eastAsia="zh-CN"/>
        </w:rPr>
        <w:t>住房城乡建设局</w:t>
      </w:r>
      <w:r>
        <w:rPr>
          <w:rFonts w:hint="eastAsia" w:ascii="仿宋_GB2312" w:hAnsi="仿宋" w:eastAsia="仿宋_GB2312"/>
          <w:sz w:val="32"/>
          <w:szCs w:val="32"/>
        </w:rPr>
        <w:t>严格执行节约能源资源工作制度，认真落实节约能源资源工作措施，以创建“节能型单位”为引导，以重点领域、重点部位、重点时段和建筑节能为突破口，以强化公共机构职工节约能源资源意识为着力点，以细化“节水、节电、节油、节支”制度、建立健全能源资源消耗台账为抓手，把节能工作纳入各部门、单位目标内容，加强日常监管，扎实推进公共机构节能工作，较好完成了</w:t>
      </w:r>
      <w:r>
        <w:rPr>
          <w:rFonts w:ascii="仿宋_GB2312" w:hAnsi="仿宋" w:eastAsia="仿宋_GB2312"/>
          <w:sz w:val="32"/>
          <w:szCs w:val="32"/>
        </w:rPr>
        <w:t>2018</w:t>
      </w:r>
      <w:r>
        <w:rPr>
          <w:rFonts w:hint="eastAsia" w:ascii="仿宋_GB2312" w:hAnsi="仿宋" w:eastAsia="仿宋_GB2312"/>
          <w:sz w:val="32"/>
          <w:szCs w:val="32"/>
        </w:rPr>
        <w:t>年节能工作目标。</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专项预算项目支出绩效</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）项目资金管理情况。</w:t>
      </w:r>
      <w:r>
        <w:rPr>
          <w:rFonts w:ascii="仿宋_GB2312" w:hAnsi="仿宋" w:eastAsia="仿宋_GB2312"/>
          <w:sz w:val="32"/>
          <w:szCs w:val="32"/>
        </w:rPr>
        <w:t>2018</w:t>
      </w:r>
      <w:r>
        <w:rPr>
          <w:rFonts w:hint="eastAsia" w:ascii="仿宋_GB2312" w:hAnsi="仿宋" w:eastAsia="仿宋_GB2312"/>
          <w:sz w:val="32"/>
          <w:szCs w:val="32"/>
        </w:rPr>
        <w:t>年，</w:t>
      </w:r>
      <w:r>
        <w:rPr>
          <w:rFonts w:hint="eastAsia" w:ascii="仿宋_GB2312" w:hAnsi="仿宋" w:eastAsia="仿宋_GB2312"/>
          <w:sz w:val="32"/>
          <w:szCs w:val="32"/>
          <w:lang w:eastAsia="zh-CN"/>
        </w:rPr>
        <w:t>达州市住房城乡建设局</w:t>
      </w:r>
      <w:r>
        <w:rPr>
          <w:rFonts w:hint="eastAsia" w:ascii="仿宋_GB2312" w:hAnsi="仿宋" w:eastAsia="仿宋_GB2312"/>
          <w:sz w:val="32"/>
          <w:szCs w:val="32"/>
        </w:rPr>
        <w:t>专项预算项目包括：</w:t>
      </w:r>
      <w:r>
        <w:rPr>
          <w:rFonts w:hint="eastAsia" w:ascii="仿宋_GB2312" w:hAnsi="仿宋" w:eastAsia="仿宋_GB2312"/>
          <w:sz w:val="32"/>
          <w:szCs w:val="32"/>
          <w:lang w:eastAsia="zh-CN"/>
        </w:rPr>
        <w:t>节能环保支出、城乡社区支出、交通运输支出、资源勘探信息等支出、商业服务业等支出、其他支出</w:t>
      </w:r>
      <w:r>
        <w:rPr>
          <w:rFonts w:hint="eastAsia" w:ascii="仿宋_GB2312" w:hAnsi="仿宋" w:eastAsia="仿宋_GB2312"/>
          <w:sz w:val="32"/>
          <w:szCs w:val="32"/>
        </w:rPr>
        <w:t>等方面，已按照专项资金性质，将专项资金发挥了应有的绩效效应。</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）目标完成情况。严格按照专项资金管理办法和相关规定进行项目决策。项目完成情况整体良好，基本达到了预期目标，取得了较好的经济效益和社会效益。</w:t>
      </w:r>
    </w:p>
    <w:p>
      <w:pPr>
        <w:spacing w:line="560" w:lineRule="exact"/>
        <w:ind w:firstLine="960" w:firstLineChars="300"/>
        <w:rPr>
          <w:rFonts w:hint="eastAsia"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中期评估情况</w:t>
      </w:r>
    </w:p>
    <w:p>
      <w:pPr>
        <w:spacing w:line="560" w:lineRule="exact"/>
        <w:ind w:firstLine="960" w:firstLineChars="300"/>
        <w:rPr>
          <w:rFonts w:ascii="仿宋_GB2312" w:hAnsi="仿宋" w:eastAsia="仿宋_GB2312"/>
          <w:sz w:val="32"/>
          <w:szCs w:val="32"/>
        </w:rPr>
      </w:pPr>
      <w:r>
        <w:rPr>
          <w:rFonts w:hint="eastAsia" w:ascii="仿宋_GB2312" w:hAnsi="仿宋" w:eastAsia="仿宋_GB2312"/>
          <w:sz w:val="32"/>
          <w:szCs w:val="32"/>
        </w:rPr>
        <w:t>按照市财政局部门预算中期调整相关要求，及时布置部门预算中期调整工作</w:t>
      </w:r>
      <w:r>
        <w:rPr>
          <w:rFonts w:hint="eastAsia" w:ascii="仿宋_GB2312" w:hAnsi="仿宋" w:eastAsia="仿宋_GB2312"/>
          <w:sz w:val="32"/>
          <w:szCs w:val="32"/>
          <w:lang w:eastAsia="zh-CN"/>
        </w:rPr>
        <w:t>，</w:t>
      </w:r>
      <w:r>
        <w:rPr>
          <w:rFonts w:hint="eastAsia" w:ascii="仿宋_GB2312" w:hAnsi="仿宋" w:eastAsia="仿宋_GB2312"/>
          <w:sz w:val="32"/>
          <w:szCs w:val="32"/>
        </w:rPr>
        <w:t>对项目预算执行状况进行认真梳理，</w:t>
      </w:r>
      <w:r>
        <w:rPr>
          <w:rFonts w:hint="eastAsia" w:ascii="仿宋_GB2312" w:hAnsi="仿宋" w:eastAsia="仿宋_GB2312"/>
          <w:sz w:val="32"/>
          <w:szCs w:val="32"/>
          <w:lang w:eastAsia="zh-CN"/>
        </w:rPr>
        <w:t>对</w:t>
      </w:r>
      <w:r>
        <w:rPr>
          <w:rFonts w:hint="eastAsia" w:ascii="仿宋_GB2312" w:hAnsi="仿宋" w:eastAsia="仿宋_GB2312"/>
          <w:sz w:val="32"/>
          <w:szCs w:val="32"/>
        </w:rPr>
        <w:t>财政部门清收预算资金，保证了预算的</w:t>
      </w:r>
      <w:r>
        <w:rPr>
          <w:rFonts w:hint="eastAsia" w:ascii="仿宋_GB2312" w:hAnsi="仿宋" w:eastAsia="仿宋_GB2312"/>
          <w:sz w:val="32"/>
          <w:szCs w:val="32"/>
          <w:lang w:eastAsia="zh-CN"/>
        </w:rPr>
        <w:t>科学</w:t>
      </w:r>
      <w:r>
        <w:rPr>
          <w:rFonts w:hint="eastAsia" w:ascii="仿宋_GB2312" w:hAnsi="仿宋" w:eastAsia="仿宋_GB2312"/>
          <w:sz w:val="32"/>
          <w:szCs w:val="32"/>
        </w:rPr>
        <w:t>性和完整性。</w:t>
      </w:r>
    </w:p>
    <w:p>
      <w:pPr>
        <w:spacing w:line="560" w:lineRule="exact"/>
        <w:ind w:firstLine="960" w:firstLineChars="3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资产管理情况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）资产管理信息化情况。达州市</w:t>
      </w:r>
      <w:r>
        <w:rPr>
          <w:rFonts w:hint="eastAsia" w:ascii="仿宋_GB2312" w:hAnsi="仿宋" w:eastAsia="仿宋_GB2312"/>
          <w:sz w:val="32"/>
          <w:szCs w:val="32"/>
          <w:lang w:eastAsia="zh-CN"/>
        </w:rPr>
        <w:t>住房城乡建设局</w:t>
      </w:r>
      <w:r>
        <w:rPr>
          <w:rFonts w:hint="eastAsia" w:ascii="仿宋_GB2312" w:hAnsi="仿宋" w:eastAsia="仿宋_GB2312"/>
          <w:sz w:val="32"/>
          <w:szCs w:val="32"/>
        </w:rPr>
        <w:t>已将全部资产录入行政事业单位资产管理系统并指定专人负责管理</w:t>
      </w:r>
      <w:r>
        <w:rPr>
          <w:rFonts w:hint="eastAsia" w:ascii="仿宋_GB2312" w:hAnsi="仿宋" w:eastAsia="仿宋_GB2312"/>
          <w:sz w:val="32"/>
          <w:szCs w:val="32"/>
          <w:lang w:eastAsia="zh-CN"/>
        </w:rPr>
        <w:t>，</w:t>
      </w:r>
      <w:r>
        <w:rPr>
          <w:rFonts w:hint="eastAsia" w:ascii="仿宋_GB2312" w:hAnsi="仿宋" w:eastAsia="仿宋_GB2312"/>
          <w:sz w:val="32"/>
          <w:szCs w:val="32"/>
        </w:rPr>
        <w:t>进一步完善资产管理系统信息，动态监测资产增减变动情况。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）行政事业单位资产报表上报情况。达州市</w:t>
      </w:r>
      <w:r>
        <w:rPr>
          <w:rFonts w:hint="eastAsia" w:ascii="仿宋_GB2312" w:hAnsi="仿宋" w:eastAsia="仿宋_GB2312"/>
          <w:sz w:val="32"/>
          <w:szCs w:val="32"/>
          <w:lang w:eastAsia="zh-CN"/>
        </w:rPr>
        <w:t>住房城乡建设局</w:t>
      </w:r>
      <w:r>
        <w:rPr>
          <w:rFonts w:hint="eastAsia" w:ascii="仿宋_GB2312" w:hAnsi="仿宋" w:eastAsia="仿宋_GB2312"/>
          <w:sz w:val="32"/>
          <w:szCs w:val="32"/>
        </w:rPr>
        <w:t>安排专人负责国有资产管理工作，在规定时间内高质量上报</w:t>
      </w:r>
      <w:r>
        <w:rPr>
          <w:rFonts w:ascii="仿宋_GB2312" w:hAnsi="仿宋" w:eastAsia="仿宋_GB2312"/>
          <w:sz w:val="32"/>
          <w:szCs w:val="32"/>
        </w:rPr>
        <w:t>2018</w:t>
      </w:r>
      <w:r>
        <w:rPr>
          <w:rFonts w:hint="eastAsia" w:ascii="仿宋_GB2312" w:hAnsi="仿宋" w:eastAsia="仿宋_GB2312"/>
          <w:sz w:val="32"/>
          <w:szCs w:val="32"/>
        </w:rPr>
        <w:t>年国有资产报表等相关报告。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）资产管理与预算管理相结合情况。达州市</w:t>
      </w:r>
      <w:r>
        <w:rPr>
          <w:rFonts w:hint="eastAsia" w:ascii="仿宋_GB2312" w:hAnsi="仿宋" w:eastAsia="仿宋_GB2312"/>
          <w:sz w:val="32"/>
          <w:szCs w:val="32"/>
          <w:lang w:eastAsia="zh-CN"/>
        </w:rPr>
        <w:t>住房城乡建设局</w:t>
      </w:r>
      <w:r>
        <w:rPr>
          <w:rFonts w:hint="eastAsia" w:ascii="仿宋_GB2312" w:hAnsi="仿宋" w:eastAsia="仿宋_GB2312"/>
          <w:sz w:val="32"/>
          <w:szCs w:val="32"/>
        </w:rPr>
        <w:t>及时将资产增减变动情况录入系统，完成资产报废新增、审批等工作。严格按照《达州市市级行政事业单位通用办公设备和家具配置标准》（达市财资产</w:t>
      </w:r>
      <w:r>
        <w:rPr>
          <w:rFonts w:ascii="仿宋_GB2312" w:hAnsi="仿宋" w:eastAsia="仿宋_GB2312"/>
          <w:sz w:val="32"/>
          <w:szCs w:val="32"/>
        </w:rPr>
        <w:t>[2018]73</w:t>
      </w:r>
      <w:r>
        <w:rPr>
          <w:rFonts w:hint="eastAsia" w:ascii="仿宋_GB2312" w:hAnsi="仿宋" w:eastAsia="仿宋_GB2312"/>
          <w:sz w:val="32"/>
          <w:szCs w:val="32"/>
        </w:rPr>
        <w:t>号）规定配备新增资产，确保执行的实施计划与备案的实施计划保持一致。</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内部控制管理情况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达州市</w:t>
      </w:r>
      <w:r>
        <w:rPr>
          <w:rFonts w:hint="eastAsia" w:ascii="仿宋_GB2312" w:hAnsi="仿宋" w:eastAsia="仿宋_GB2312"/>
          <w:sz w:val="32"/>
          <w:szCs w:val="32"/>
          <w:lang w:eastAsia="zh-CN"/>
        </w:rPr>
        <w:t>住房城乡建设局</w:t>
      </w:r>
      <w:r>
        <w:rPr>
          <w:rFonts w:hint="eastAsia" w:ascii="仿宋_GB2312" w:hAnsi="仿宋" w:eastAsia="仿宋_GB2312"/>
          <w:sz w:val="32"/>
          <w:szCs w:val="32"/>
        </w:rPr>
        <w:t>建立了较为健全的财务和内控管理制度，</w:t>
      </w:r>
      <w:r>
        <w:rPr>
          <w:rFonts w:ascii="仿宋_GB2312" w:hAnsi="仿宋" w:eastAsia="仿宋_GB2312"/>
          <w:sz w:val="32"/>
          <w:szCs w:val="32"/>
        </w:rPr>
        <w:t xml:space="preserve"> 2018</w:t>
      </w:r>
      <w:r>
        <w:rPr>
          <w:rFonts w:hint="eastAsia" w:ascii="仿宋_GB2312" w:hAnsi="仿宋" w:eastAsia="仿宋_GB2312"/>
          <w:sz w:val="32"/>
          <w:szCs w:val="32"/>
        </w:rPr>
        <w:t>年根据国家新出台的一系列经费管理办法，达州市</w:t>
      </w:r>
      <w:r>
        <w:rPr>
          <w:rFonts w:hint="eastAsia" w:ascii="仿宋_GB2312" w:hAnsi="仿宋" w:eastAsia="仿宋_GB2312"/>
          <w:sz w:val="32"/>
          <w:szCs w:val="32"/>
          <w:lang w:eastAsia="zh-CN"/>
        </w:rPr>
        <w:t>住房城乡建设局</w:t>
      </w:r>
      <w:r>
        <w:rPr>
          <w:rFonts w:hint="eastAsia" w:ascii="仿宋_GB2312" w:hAnsi="仿宋" w:eastAsia="仿宋_GB2312"/>
          <w:sz w:val="32"/>
          <w:szCs w:val="32"/>
        </w:rPr>
        <w:t>对原有制度进行了修订、完善先后出台了《达州市</w:t>
      </w:r>
      <w:r>
        <w:rPr>
          <w:rFonts w:hint="eastAsia" w:ascii="仿宋_GB2312" w:hAnsi="仿宋" w:eastAsia="仿宋_GB2312"/>
          <w:sz w:val="32"/>
          <w:szCs w:val="32"/>
          <w:lang w:eastAsia="zh-CN"/>
        </w:rPr>
        <w:t>住房城乡建设局</w:t>
      </w:r>
      <w:r>
        <w:rPr>
          <w:rFonts w:hint="eastAsia" w:ascii="仿宋_GB2312" w:hAnsi="仿宋" w:eastAsia="仿宋_GB2312"/>
          <w:sz w:val="32"/>
          <w:szCs w:val="32"/>
        </w:rPr>
        <w:t>财务管理办法》、《达州市</w:t>
      </w:r>
      <w:r>
        <w:rPr>
          <w:rFonts w:hint="eastAsia" w:ascii="仿宋_GB2312" w:hAnsi="仿宋" w:eastAsia="仿宋_GB2312"/>
          <w:sz w:val="32"/>
          <w:szCs w:val="32"/>
          <w:lang w:eastAsia="zh-CN"/>
        </w:rPr>
        <w:t>住房城乡建设局</w:t>
      </w:r>
      <w:r>
        <w:rPr>
          <w:rFonts w:hint="eastAsia" w:ascii="仿宋_GB2312" w:hAnsi="仿宋" w:eastAsia="仿宋_GB2312"/>
          <w:sz w:val="32"/>
          <w:szCs w:val="32"/>
        </w:rPr>
        <w:t>内部控制制度》。会计核算和账务管理按照《</w:t>
      </w:r>
      <w:r>
        <w:rPr>
          <w:rFonts w:hint="eastAsia" w:ascii="仿宋_GB2312" w:hAnsi="仿宋" w:eastAsia="仿宋_GB2312"/>
          <w:sz w:val="32"/>
          <w:szCs w:val="32"/>
          <w:lang w:eastAsia="zh-CN"/>
        </w:rPr>
        <w:t>行政事业</w:t>
      </w:r>
      <w:r>
        <w:rPr>
          <w:rFonts w:hint="eastAsia" w:ascii="仿宋_GB2312" w:hAnsi="仿宋" w:eastAsia="仿宋_GB2312"/>
          <w:sz w:val="32"/>
          <w:szCs w:val="32"/>
        </w:rPr>
        <w:t>单位会计制度》和财政资金的相关要求执行，严格控制了各项资金的使用范围和开支标准，推进财务工作有序开展，有力保障了全年工作任务的完成，达到了厉行节约的目的。</w:t>
      </w:r>
      <w:r>
        <w:rPr>
          <w:rFonts w:ascii="仿宋_GB2312" w:hAnsi="仿宋" w:eastAsia="仿宋_GB2312"/>
          <w:sz w:val="32"/>
          <w:szCs w:val="32"/>
        </w:rPr>
        <w:t>2018</w:t>
      </w:r>
      <w:r>
        <w:rPr>
          <w:rFonts w:hint="eastAsia" w:ascii="仿宋_GB2312" w:hAnsi="仿宋" w:eastAsia="仿宋_GB2312"/>
          <w:sz w:val="32"/>
          <w:szCs w:val="32"/>
        </w:rPr>
        <w:t>年达州市</w:t>
      </w:r>
      <w:r>
        <w:rPr>
          <w:rFonts w:hint="eastAsia" w:ascii="仿宋_GB2312" w:hAnsi="仿宋" w:eastAsia="仿宋_GB2312"/>
          <w:sz w:val="32"/>
          <w:szCs w:val="32"/>
          <w:lang w:eastAsia="zh-CN"/>
        </w:rPr>
        <w:t>住房城乡建设局</w:t>
      </w:r>
      <w:r>
        <w:rPr>
          <w:rFonts w:hint="eastAsia" w:ascii="仿宋_GB2312" w:hAnsi="仿宋" w:eastAsia="仿宋_GB2312"/>
          <w:sz w:val="32"/>
          <w:szCs w:val="32"/>
        </w:rPr>
        <w:t>未出现因内控制度不健全和执行不到位出现的廉政风险和重大责任事故。</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政府采购</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达州市</w:t>
      </w:r>
      <w:r>
        <w:rPr>
          <w:rFonts w:hint="eastAsia" w:ascii="仿宋_GB2312" w:hAnsi="仿宋" w:eastAsia="仿宋_GB2312"/>
          <w:sz w:val="32"/>
          <w:szCs w:val="32"/>
          <w:lang w:eastAsia="zh-CN"/>
        </w:rPr>
        <w:t>住房城乡建设局</w:t>
      </w:r>
      <w:r>
        <w:rPr>
          <w:rFonts w:hint="eastAsia" w:ascii="仿宋_GB2312" w:hAnsi="仿宋" w:eastAsia="仿宋_GB2312"/>
          <w:sz w:val="32"/>
          <w:szCs w:val="32"/>
        </w:rPr>
        <w:t>严格执行财政的政府采购集中目录和分散采购的要求，达到公开招标限额的事项通过招标程序办理。设有专人负责政府采购计划的申请、调整以及采购网上的具体操作，执行情况良好。</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信息公开情况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达州市</w:t>
      </w:r>
      <w:r>
        <w:rPr>
          <w:rFonts w:hint="eastAsia" w:ascii="仿宋_GB2312" w:hAnsi="仿宋" w:eastAsia="仿宋_GB2312"/>
          <w:sz w:val="32"/>
          <w:szCs w:val="32"/>
          <w:lang w:eastAsia="zh-CN"/>
        </w:rPr>
        <w:t>住房城乡建设局</w:t>
      </w:r>
      <w:r>
        <w:rPr>
          <w:rFonts w:hint="eastAsia" w:ascii="仿宋_GB2312" w:hAnsi="仿宋" w:eastAsia="仿宋_GB2312"/>
          <w:sz w:val="32"/>
          <w:szCs w:val="32"/>
        </w:rPr>
        <w:t>按要求</w:t>
      </w:r>
      <w:r>
        <w:rPr>
          <w:rFonts w:hint="eastAsia" w:ascii="仿宋_GB2312" w:hAnsi="仿宋" w:eastAsia="仿宋_GB2312"/>
          <w:sz w:val="32"/>
          <w:szCs w:val="32"/>
          <w:lang w:eastAsia="zh-CN"/>
        </w:rPr>
        <w:t>及时</w:t>
      </w:r>
      <w:r>
        <w:rPr>
          <w:rFonts w:hint="eastAsia" w:ascii="仿宋_GB2312" w:hAnsi="仿宋" w:eastAsia="仿宋_GB2312"/>
          <w:sz w:val="32"/>
          <w:szCs w:val="32"/>
        </w:rPr>
        <w:t>公开了</w:t>
      </w:r>
      <w:r>
        <w:rPr>
          <w:rFonts w:ascii="仿宋_GB2312" w:hAnsi="仿宋" w:eastAsia="仿宋_GB2312"/>
          <w:sz w:val="32"/>
          <w:szCs w:val="32"/>
        </w:rPr>
        <w:t>2019</w:t>
      </w:r>
      <w:r>
        <w:rPr>
          <w:rFonts w:hint="eastAsia" w:ascii="仿宋_GB2312" w:hAnsi="仿宋" w:eastAsia="仿宋_GB2312"/>
          <w:sz w:val="32"/>
          <w:szCs w:val="32"/>
        </w:rPr>
        <w:t>年部门预算，</w:t>
      </w:r>
      <w:r>
        <w:rPr>
          <w:rFonts w:ascii="仿宋_GB2312" w:hAnsi="仿宋" w:eastAsia="仿宋_GB2312"/>
          <w:sz w:val="32"/>
          <w:szCs w:val="32"/>
        </w:rPr>
        <w:t>2019</w:t>
      </w:r>
      <w:r>
        <w:rPr>
          <w:rFonts w:hint="eastAsia" w:ascii="仿宋_GB2312" w:hAnsi="仿宋" w:eastAsia="仿宋_GB2312"/>
          <w:sz w:val="32"/>
          <w:szCs w:val="32"/>
        </w:rPr>
        <w:t>年</w:t>
      </w:r>
      <w:r>
        <w:rPr>
          <w:rFonts w:ascii="仿宋_GB2312" w:hAnsi="仿宋" w:eastAsia="仿宋_GB2312"/>
          <w:sz w:val="32"/>
          <w:szCs w:val="32"/>
        </w:rPr>
        <w:t>9</w:t>
      </w:r>
      <w:r>
        <w:rPr>
          <w:rFonts w:hint="eastAsia" w:ascii="仿宋_GB2312" w:hAnsi="仿宋" w:eastAsia="仿宋_GB2312"/>
          <w:sz w:val="32"/>
          <w:szCs w:val="32"/>
        </w:rPr>
        <w:t>月按时按要求公开了</w:t>
      </w:r>
      <w:r>
        <w:rPr>
          <w:rFonts w:ascii="仿宋_GB2312" w:hAnsi="仿宋" w:eastAsia="仿宋_GB2312"/>
          <w:sz w:val="32"/>
          <w:szCs w:val="32"/>
        </w:rPr>
        <w:t>2018</w:t>
      </w:r>
      <w:r>
        <w:rPr>
          <w:rFonts w:hint="eastAsia" w:ascii="仿宋_GB2312" w:hAnsi="仿宋" w:eastAsia="仿宋_GB2312"/>
          <w:sz w:val="32"/>
          <w:szCs w:val="32"/>
        </w:rPr>
        <w:t>年部门决算。</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8</w:t>
      </w:r>
      <w:r>
        <w:rPr>
          <w:rFonts w:hint="eastAsia" w:ascii="仿宋_GB2312" w:hAnsi="仿宋" w:eastAsia="仿宋_GB2312"/>
          <w:sz w:val="32"/>
          <w:szCs w:val="32"/>
        </w:rPr>
        <w:t>、绩效评价情况</w:t>
      </w:r>
    </w:p>
    <w:p>
      <w:pPr>
        <w:pageBreakBefore w:val="0"/>
        <w:kinsoku/>
        <w:wordWrap/>
        <w:overflowPunct/>
        <w:topLinePunct w:val="0"/>
        <w:bidi w:val="0"/>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根据《达州市财政局关于开展</w:t>
      </w:r>
      <w:r>
        <w:rPr>
          <w:rFonts w:ascii="仿宋_GB2312" w:hAnsi="仿宋" w:eastAsia="仿宋_GB2312"/>
          <w:sz w:val="32"/>
          <w:szCs w:val="32"/>
        </w:rPr>
        <w:t>2018</w:t>
      </w:r>
      <w:r>
        <w:rPr>
          <w:rFonts w:hint="eastAsia" w:ascii="仿宋_GB2312" w:hAnsi="仿宋" w:eastAsia="仿宋_GB2312"/>
          <w:sz w:val="32"/>
          <w:szCs w:val="32"/>
        </w:rPr>
        <w:t>年市级部门整体支出绩效评价工作的通知》要求，对单位的专项项目实施了绩效评价，做到了单位和项目资金全覆盖。</w:t>
      </w:r>
    </w:p>
    <w:p>
      <w:pPr>
        <w:pageBreakBefore w:val="0"/>
        <w:kinsoku/>
        <w:wordWrap/>
        <w:overflowPunct/>
        <w:topLinePunct w:val="0"/>
        <w:bidi w:val="0"/>
        <w:spacing w:line="570" w:lineRule="exact"/>
        <w:ind w:firstLine="640" w:firstLineChars="200"/>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（三）结果应用情况。</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2018</w:t>
      </w:r>
      <w:r>
        <w:rPr>
          <w:rFonts w:hint="eastAsia" w:ascii="仿宋_GB2312" w:hAnsi="仿宋" w:eastAsia="仿宋_GB2312"/>
          <w:sz w:val="32"/>
          <w:szCs w:val="32"/>
        </w:rPr>
        <w:t>年，</w:t>
      </w:r>
      <w:r>
        <w:rPr>
          <w:rFonts w:hint="eastAsia" w:ascii="仿宋_GB2312" w:hAnsi="仿宋" w:eastAsia="仿宋_GB2312"/>
          <w:sz w:val="32"/>
          <w:szCs w:val="32"/>
          <w:lang w:eastAsia="zh-CN"/>
        </w:rPr>
        <w:t>达州</w:t>
      </w:r>
      <w:r>
        <w:rPr>
          <w:rFonts w:ascii="仿宋" w:hAnsi="仿宋" w:eastAsia="仿宋" w:cs="仿宋_GB2312"/>
          <w:color w:val="auto"/>
          <w:sz w:val="32"/>
          <w:szCs w:val="32"/>
          <w:highlight w:val="none"/>
        </w:rPr>
        <w:t>市住房城乡建设局</w:t>
      </w:r>
      <w:r>
        <w:rPr>
          <w:rFonts w:hint="eastAsia" w:ascii="仿宋_GB2312" w:hAnsi="仿宋" w:eastAsia="仿宋_GB2312"/>
          <w:sz w:val="32"/>
          <w:szCs w:val="32"/>
        </w:rPr>
        <w:t>认真履行职责，切实提升效能，较好地完成了年初下达的各项绩效目标任务。重点任务完成率</w:t>
      </w:r>
      <w:r>
        <w:rPr>
          <w:rFonts w:ascii="仿宋_GB2312" w:hAnsi="仿宋" w:eastAsia="仿宋_GB2312"/>
          <w:sz w:val="32"/>
          <w:szCs w:val="32"/>
        </w:rPr>
        <w:t>100%</w:t>
      </w:r>
      <w:r>
        <w:rPr>
          <w:rFonts w:hint="eastAsia" w:ascii="仿宋_GB2312" w:hAnsi="仿宋" w:eastAsia="仿宋_GB2312"/>
          <w:sz w:val="32"/>
          <w:szCs w:val="32"/>
        </w:rPr>
        <w:t>，重点任务完成质量较好，时效指标完成较好。</w:t>
      </w:r>
    </w:p>
    <w:p>
      <w:pPr>
        <w:spacing w:line="560" w:lineRule="exact"/>
        <w:ind w:firstLine="640" w:firstLineChars="200"/>
        <w:rPr>
          <w:rFonts w:ascii="仿宋" w:hAnsi="仿宋" w:eastAsia="仿宋" w:cs="仿宋_GB2312"/>
          <w:color w:val="auto"/>
          <w:sz w:val="32"/>
          <w:szCs w:val="32"/>
          <w:highlight w:val="none"/>
        </w:rPr>
      </w:pPr>
      <w:r>
        <w:rPr>
          <w:rFonts w:hint="eastAsia" w:ascii="仿宋_GB2312" w:hAnsi="仿宋" w:eastAsia="仿宋_GB2312"/>
          <w:sz w:val="32"/>
          <w:szCs w:val="32"/>
        </w:rPr>
        <w:t>根据《达州市财政局关于开展</w:t>
      </w:r>
      <w:r>
        <w:rPr>
          <w:rFonts w:ascii="仿宋_GB2312" w:hAnsi="仿宋" w:eastAsia="仿宋_GB2312"/>
          <w:sz w:val="32"/>
          <w:szCs w:val="32"/>
        </w:rPr>
        <w:t>2018</w:t>
      </w:r>
      <w:r>
        <w:rPr>
          <w:rFonts w:hint="eastAsia" w:ascii="仿宋_GB2312" w:hAnsi="仿宋" w:eastAsia="仿宋_GB2312"/>
          <w:sz w:val="32"/>
          <w:szCs w:val="32"/>
        </w:rPr>
        <w:t>年财政绩效评价工作的通知》</w:t>
      </w:r>
      <w:r>
        <w:rPr>
          <w:rFonts w:ascii="仿宋_GB2312" w:hAnsi="仿宋" w:eastAsia="仿宋_GB2312"/>
          <w:sz w:val="32"/>
          <w:szCs w:val="32"/>
        </w:rPr>
        <w:t>(</w:t>
      </w:r>
      <w:r>
        <w:rPr>
          <w:rFonts w:hint="eastAsia" w:ascii="仿宋_GB2312" w:hAnsi="仿宋" w:eastAsia="仿宋_GB2312"/>
          <w:sz w:val="32"/>
          <w:szCs w:val="32"/>
        </w:rPr>
        <w:t>达市财预</w:t>
      </w:r>
      <w:r>
        <w:rPr>
          <w:rFonts w:ascii="仿宋_GB2312" w:hAnsi="仿宋" w:eastAsia="仿宋_GB2312"/>
          <w:sz w:val="32"/>
          <w:szCs w:val="32"/>
        </w:rPr>
        <w:t>[2018]49</w:t>
      </w:r>
      <w:r>
        <w:rPr>
          <w:rFonts w:hint="eastAsia" w:ascii="仿宋_GB2312" w:hAnsi="仿宋" w:eastAsia="仿宋_GB2312"/>
          <w:sz w:val="32"/>
          <w:szCs w:val="32"/>
        </w:rPr>
        <w:t>号</w:t>
      </w:r>
      <w:r>
        <w:rPr>
          <w:rFonts w:ascii="仿宋_GB2312" w:hAnsi="仿宋" w:eastAsia="仿宋_GB2312"/>
          <w:sz w:val="32"/>
          <w:szCs w:val="32"/>
        </w:rPr>
        <w:t>)</w:t>
      </w:r>
      <w:r>
        <w:rPr>
          <w:rFonts w:hint="eastAsia" w:ascii="仿宋_GB2312" w:hAnsi="仿宋" w:eastAsia="仿宋_GB2312"/>
          <w:sz w:val="32"/>
          <w:szCs w:val="32"/>
        </w:rPr>
        <w:t>精神，</w:t>
      </w:r>
      <w:r>
        <w:rPr>
          <w:rFonts w:hint="eastAsia" w:ascii="仿宋_GB2312" w:hAnsi="仿宋" w:eastAsia="仿宋_GB2312"/>
          <w:sz w:val="32"/>
          <w:szCs w:val="32"/>
          <w:lang w:eastAsia="zh-CN"/>
        </w:rPr>
        <w:t>达州</w:t>
      </w:r>
      <w:r>
        <w:rPr>
          <w:rFonts w:ascii="仿宋" w:hAnsi="仿宋" w:eastAsia="仿宋" w:cs="仿宋_GB2312"/>
          <w:color w:val="auto"/>
          <w:sz w:val="32"/>
          <w:szCs w:val="32"/>
          <w:highlight w:val="none"/>
        </w:rPr>
        <w:t>市住房城乡建设局</w:t>
      </w:r>
      <w:r>
        <w:rPr>
          <w:rFonts w:hint="eastAsia" w:ascii="仿宋_GB2312" w:hAnsi="仿宋" w:eastAsia="仿宋_GB2312"/>
          <w:sz w:val="32"/>
          <w:szCs w:val="32"/>
        </w:rPr>
        <w:t>综合自评情况并结合年初绩效目标完成情况进行汇总完成部门支出绩效自评工作</w:t>
      </w:r>
      <w:r>
        <w:rPr>
          <w:rFonts w:ascii="仿宋_GB2312" w:hAnsi="仿宋" w:eastAsia="仿宋_GB2312"/>
          <w:sz w:val="32"/>
          <w:szCs w:val="32"/>
        </w:rPr>
        <w:t>,</w:t>
      </w:r>
      <w:r>
        <w:rPr>
          <w:rFonts w:hint="eastAsia" w:ascii="仿宋_GB2312" w:hAnsi="仿宋" w:eastAsia="仿宋_GB2312"/>
          <w:sz w:val="32"/>
          <w:szCs w:val="32"/>
        </w:rPr>
        <w:t>自评得分</w:t>
      </w:r>
      <w:r>
        <w:rPr>
          <w:rFonts w:hint="eastAsia" w:ascii="仿宋_GB2312" w:hAnsi="仿宋" w:eastAsia="仿宋_GB2312"/>
          <w:sz w:val="32"/>
          <w:szCs w:val="32"/>
          <w:lang w:val="en-US" w:eastAsia="zh-CN"/>
        </w:rPr>
        <w:t>99</w:t>
      </w:r>
      <w:r>
        <w:rPr>
          <w:rFonts w:hint="eastAsia" w:ascii="仿宋_GB2312" w:hAnsi="仿宋" w:eastAsia="仿宋_GB2312"/>
          <w:sz w:val="32"/>
          <w:szCs w:val="32"/>
        </w:rPr>
        <w:t>分。</w:t>
      </w:r>
    </w:p>
    <w:p>
      <w:pPr>
        <w:pageBreakBefore w:val="0"/>
        <w:kinsoku/>
        <w:wordWrap/>
        <w:overflowPunct/>
        <w:topLinePunct w:val="0"/>
        <w:bidi w:val="0"/>
        <w:spacing w:line="570" w:lineRule="exact"/>
        <w:ind w:firstLine="640" w:firstLineChars="200"/>
        <w:rPr>
          <w:rFonts w:ascii="黑体" w:hAnsi="黑体" w:eastAsia="黑体" w:cs="黑体"/>
          <w:color w:val="auto"/>
          <w:sz w:val="32"/>
          <w:szCs w:val="32"/>
          <w:highlight w:val="none"/>
        </w:rPr>
      </w:pPr>
      <w:r>
        <w:rPr>
          <w:rFonts w:ascii="黑体" w:hAnsi="黑体" w:eastAsia="黑体" w:cs="黑体"/>
          <w:color w:val="auto"/>
          <w:sz w:val="32"/>
          <w:szCs w:val="32"/>
          <w:highlight w:val="none"/>
        </w:rPr>
        <w:t>四、评价结论及建议</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（一）评价结论。</w:t>
      </w:r>
      <w:r>
        <w:rPr>
          <w:rFonts w:hint="eastAsia" w:ascii="仿宋_GB2312" w:hAnsi="仿宋" w:eastAsia="仿宋_GB2312"/>
          <w:sz w:val="32"/>
          <w:szCs w:val="32"/>
        </w:rPr>
        <w:t>从自评情况来看，</w:t>
      </w:r>
      <w:r>
        <w:rPr>
          <w:rFonts w:hint="eastAsia" w:ascii="仿宋_GB2312" w:hAnsi="仿宋" w:eastAsia="仿宋_GB2312"/>
          <w:sz w:val="32"/>
          <w:szCs w:val="32"/>
          <w:lang w:eastAsia="zh-CN"/>
        </w:rPr>
        <w:t>达州</w:t>
      </w:r>
      <w:r>
        <w:rPr>
          <w:rFonts w:ascii="仿宋" w:hAnsi="仿宋" w:eastAsia="仿宋" w:cs="仿宋_GB2312"/>
          <w:color w:val="auto"/>
          <w:sz w:val="32"/>
          <w:szCs w:val="32"/>
          <w:highlight w:val="none"/>
        </w:rPr>
        <w:t>市住房城乡建设局</w:t>
      </w:r>
      <w:r>
        <w:rPr>
          <w:rFonts w:hint="eastAsia" w:ascii="仿宋_GB2312" w:hAnsi="仿宋" w:eastAsia="仿宋_GB2312"/>
          <w:sz w:val="32"/>
          <w:szCs w:val="32"/>
        </w:rPr>
        <w:t>支出绩效水平较高，保障了单位的正常运转，降低了事业运行成本，促进了全市</w:t>
      </w:r>
      <w:r>
        <w:rPr>
          <w:rFonts w:hint="eastAsia" w:ascii="仿宋_GB2312" w:hAnsi="仿宋" w:eastAsia="仿宋_GB2312"/>
          <w:sz w:val="32"/>
          <w:szCs w:val="32"/>
          <w:lang w:eastAsia="zh-CN"/>
        </w:rPr>
        <w:t>住建</w:t>
      </w:r>
      <w:r>
        <w:rPr>
          <w:rFonts w:hint="eastAsia" w:ascii="仿宋_GB2312" w:hAnsi="仿宋" w:eastAsia="仿宋_GB2312"/>
          <w:sz w:val="32"/>
          <w:szCs w:val="32"/>
        </w:rPr>
        <w:t>工作持续</w:t>
      </w:r>
      <w:r>
        <w:rPr>
          <w:rFonts w:hint="eastAsia" w:ascii="仿宋_GB2312" w:hAnsi="仿宋" w:eastAsia="仿宋_GB2312"/>
          <w:sz w:val="32"/>
          <w:szCs w:val="32"/>
          <w:lang w:eastAsia="zh-CN"/>
        </w:rPr>
        <w:t>健康</w:t>
      </w:r>
      <w:r>
        <w:rPr>
          <w:rFonts w:hint="eastAsia" w:ascii="仿宋_GB2312" w:hAnsi="仿宋" w:eastAsia="仿宋_GB2312"/>
          <w:sz w:val="32"/>
          <w:szCs w:val="32"/>
        </w:rPr>
        <w:t>发展，充分发挥了城建财政资金的经济效益、社会效益和生态效益。</w:t>
      </w:r>
    </w:p>
    <w:p>
      <w:pPr>
        <w:spacing w:line="56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（二）存在问题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从绩效评价看，</w:t>
      </w:r>
      <w:r>
        <w:rPr>
          <w:rFonts w:hint="eastAsia" w:ascii="仿宋_GB2312" w:hAnsi="仿宋" w:eastAsia="仿宋_GB2312"/>
          <w:sz w:val="32"/>
          <w:szCs w:val="32"/>
          <w:lang w:eastAsia="zh-CN"/>
        </w:rPr>
        <w:t>达州市住房城乡建设局</w:t>
      </w:r>
      <w:r>
        <w:rPr>
          <w:rFonts w:hint="eastAsia" w:ascii="仿宋_GB2312" w:hAnsi="仿宋" w:eastAsia="仿宋_GB2312"/>
          <w:sz w:val="32"/>
          <w:szCs w:val="32"/>
        </w:rPr>
        <w:t>支出预算和绩效评价工作还存在一些问题</w:t>
      </w:r>
      <w:r>
        <w:rPr>
          <w:rFonts w:hint="eastAsia" w:ascii="仿宋_GB2312" w:hAnsi="仿宋" w:eastAsia="仿宋_GB2312"/>
          <w:sz w:val="32"/>
          <w:szCs w:val="32"/>
          <w:lang w:eastAsia="zh-CN"/>
        </w:rPr>
        <w:t>：</w:t>
      </w:r>
      <w:r>
        <w:rPr>
          <w:rFonts w:hint="eastAsia" w:ascii="仿宋_GB2312" w:hAnsi="仿宋" w:eastAsia="仿宋_GB2312"/>
          <w:sz w:val="32"/>
          <w:szCs w:val="32"/>
        </w:rPr>
        <w:t>一是对部门支出绩效评价工作认识理解</w:t>
      </w:r>
      <w:r>
        <w:rPr>
          <w:rFonts w:hint="eastAsia" w:ascii="仿宋_GB2312" w:hAnsi="仿宋" w:eastAsia="仿宋_GB2312"/>
          <w:sz w:val="32"/>
          <w:szCs w:val="32"/>
          <w:lang w:eastAsia="zh-CN"/>
        </w:rPr>
        <w:t>还</w:t>
      </w:r>
      <w:r>
        <w:rPr>
          <w:rFonts w:hint="eastAsia" w:ascii="仿宋_GB2312" w:hAnsi="仿宋" w:eastAsia="仿宋_GB2312"/>
          <w:sz w:val="32"/>
          <w:szCs w:val="32"/>
        </w:rPr>
        <w:t>不够</w:t>
      </w:r>
      <w:r>
        <w:rPr>
          <w:rFonts w:hint="eastAsia" w:ascii="仿宋_GB2312" w:hAnsi="仿宋" w:eastAsia="仿宋_GB2312"/>
          <w:sz w:val="32"/>
          <w:szCs w:val="32"/>
          <w:lang w:eastAsia="zh-CN"/>
        </w:rPr>
        <w:t>深</w:t>
      </w:r>
      <w:r>
        <w:rPr>
          <w:rFonts w:hint="eastAsia" w:ascii="仿宋_GB2312" w:hAnsi="仿宋" w:eastAsia="仿宋_GB2312"/>
          <w:sz w:val="32"/>
          <w:szCs w:val="32"/>
        </w:rPr>
        <w:t>；二是有的项目指标</w:t>
      </w:r>
      <w:r>
        <w:rPr>
          <w:rFonts w:hint="eastAsia" w:ascii="仿宋_GB2312" w:hAnsi="仿宋" w:eastAsia="仿宋_GB2312"/>
          <w:sz w:val="32"/>
          <w:szCs w:val="32"/>
          <w:lang w:eastAsia="zh-CN"/>
        </w:rPr>
        <w:t>量化不够</w:t>
      </w:r>
      <w:r>
        <w:rPr>
          <w:rFonts w:hint="eastAsia" w:ascii="仿宋_GB2312" w:hAnsi="仿宋" w:eastAsia="仿宋_GB2312"/>
          <w:sz w:val="32"/>
          <w:szCs w:val="32"/>
        </w:rPr>
        <w:t>；三是预算执行进度与财政要求进度尚有</w:t>
      </w:r>
      <w:r>
        <w:rPr>
          <w:rFonts w:hint="eastAsia" w:ascii="仿宋_GB2312" w:hAnsi="仿宋" w:eastAsia="仿宋_GB2312"/>
          <w:sz w:val="32"/>
          <w:szCs w:val="32"/>
          <w:lang w:eastAsia="zh-CN"/>
        </w:rPr>
        <w:t>一定</w:t>
      </w:r>
      <w:r>
        <w:rPr>
          <w:rFonts w:hint="eastAsia" w:ascii="仿宋_GB2312" w:hAnsi="仿宋" w:eastAsia="仿宋_GB2312"/>
          <w:sz w:val="32"/>
          <w:szCs w:val="32"/>
        </w:rPr>
        <w:t>差距。</w:t>
      </w:r>
    </w:p>
    <w:p>
      <w:pPr>
        <w:spacing w:line="56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（三）改进建议</w:t>
      </w:r>
    </w:p>
    <w:p>
      <w:pPr>
        <w:pageBreakBefore w:val="0"/>
        <w:kinsoku/>
        <w:wordWrap/>
        <w:overflowPunct/>
        <w:topLinePunct w:val="0"/>
        <w:bidi w:val="0"/>
        <w:spacing w:line="570" w:lineRule="exact"/>
        <w:ind w:firstLine="640" w:firstLineChars="200"/>
        <w:rPr>
          <w:rFonts w:ascii="仿宋" w:hAnsi="仿宋" w:eastAsia="仿宋" w:cs="仿宋_GB2312"/>
          <w:color w:val="auto"/>
          <w:sz w:val="32"/>
          <w:szCs w:val="32"/>
          <w:highlight w:val="none"/>
        </w:rPr>
      </w:pPr>
      <w:r>
        <w:rPr>
          <w:rFonts w:hint="eastAsia" w:ascii="仿宋_GB2312" w:hAnsi="仿宋" w:eastAsia="仿宋_GB2312"/>
          <w:sz w:val="32"/>
          <w:szCs w:val="32"/>
        </w:rPr>
        <w:t>绩效评价是深入贯彻落实《预算法》和《国务院关于深化预算管理制度改革的决定》（国发〔</w:t>
      </w:r>
      <w:r>
        <w:rPr>
          <w:rFonts w:ascii="仿宋_GB2312" w:hAnsi="仿宋" w:eastAsia="仿宋_GB2312"/>
          <w:sz w:val="32"/>
          <w:szCs w:val="32"/>
        </w:rPr>
        <w:t>2018</w:t>
      </w:r>
      <w:r>
        <w:rPr>
          <w:rFonts w:hint="eastAsia" w:ascii="仿宋_GB2312" w:hAnsi="仿宋" w:eastAsia="仿宋_GB2312"/>
          <w:sz w:val="32"/>
          <w:szCs w:val="32"/>
        </w:rPr>
        <w:t>〕</w:t>
      </w:r>
      <w:r>
        <w:rPr>
          <w:rFonts w:ascii="仿宋_GB2312" w:hAnsi="仿宋" w:eastAsia="仿宋_GB2312"/>
          <w:sz w:val="32"/>
          <w:szCs w:val="32"/>
        </w:rPr>
        <w:t>45</w:t>
      </w:r>
      <w:r>
        <w:rPr>
          <w:rFonts w:hint="eastAsia" w:ascii="仿宋_GB2312" w:hAnsi="仿宋" w:eastAsia="仿宋_GB2312"/>
          <w:sz w:val="32"/>
          <w:szCs w:val="32"/>
        </w:rPr>
        <w:t>号）要求的一项重要内容，建议财政加强对绩效评价工作的培训和指导，进一步优化项目绩效考核指标体系，做到合理性与可操作性的有机统一</w:t>
      </w:r>
      <w:r>
        <w:rPr>
          <w:rFonts w:hint="eastAsia" w:ascii="仿宋_GB2312" w:hAnsi="仿宋" w:eastAsia="仿宋_GB2312"/>
          <w:sz w:val="32"/>
          <w:szCs w:val="32"/>
          <w:lang w:eastAsia="zh-CN"/>
        </w:rPr>
        <w:t>，确保预算执行更加科学高效。</w:t>
      </w:r>
    </w:p>
    <w:p>
      <w:pPr>
        <w:pageBreakBefore w:val="0"/>
        <w:widowControl/>
        <w:kinsoku/>
        <w:wordWrap/>
        <w:overflowPunct/>
        <w:topLinePunct w:val="0"/>
        <w:bidi w:val="0"/>
        <w:spacing w:line="570" w:lineRule="exact"/>
        <w:jc w:val="left"/>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
      <w:pPr>
        <w:pageBreakBefore w:val="0"/>
        <w:kinsoku/>
        <w:wordWrap/>
        <w:overflowPunct/>
        <w:topLinePunct w:val="0"/>
        <w:bidi w:val="0"/>
        <w:spacing w:line="570" w:lineRule="exact"/>
        <w:jc w:val="center"/>
        <w:outlineLvl w:val="0"/>
        <w:rPr>
          <w:rStyle w:val="26"/>
          <w:rFonts w:ascii="黑体" w:hAnsi="黑体" w:eastAsia="黑体"/>
          <w:b w:val="0"/>
          <w:color w:val="auto"/>
          <w:highlight w:val="none"/>
        </w:rPr>
      </w:pPr>
      <w:bookmarkStart w:id="58" w:name="_Toc30025"/>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54"/>
      <w:bookmarkEnd w:id="58"/>
    </w:p>
    <w:p>
      <w:pPr>
        <w:pageBreakBefore w:val="0"/>
        <w:kinsoku/>
        <w:wordWrap/>
        <w:overflowPunct/>
        <w:topLinePunct w:val="0"/>
        <w:bidi w:val="0"/>
        <w:spacing w:line="570" w:lineRule="exact"/>
        <w:jc w:val="center"/>
        <w:outlineLvl w:val="0"/>
        <w:rPr>
          <w:rFonts w:ascii="仿宋" w:hAnsi="仿宋" w:eastAsia="仿宋"/>
          <w:b/>
          <w:color w:val="auto"/>
          <w:sz w:val="44"/>
          <w:szCs w:val="44"/>
          <w:highlight w:val="none"/>
        </w:rPr>
      </w:pPr>
    </w:p>
    <w:p>
      <w:pPr>
        <w:pStyle w:val="4"/>
        <w:pageBreakBefore w:val="0"/>
        <w:kinsoku/>
        <w:wordWrap/>
        <w:overflowPunct/>
        <w:topLinePunct w:val="0"/>
        <w:bidi w:val="0"/>
        <w:spacing w:before="0" w:after="0" w:line="570" w:lineRule="exact"/>
        <w:rPr>
          <w:rFonts w:ascii="仿宋" w:hAnsi="仿宋" w:eastAsia="仿宋"/>
          <w:color w:val="auto"/>
          <w:highlight w:val="none"/>
        </w:rPr>
      </w:pPr>
      <w:bookmarkStart w:id="59" w:name="_Toc4668"/>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59"/>
    </w:p>
    <w:p>
      <w:pPr>
        <w:pStyle w:val="4"/>
        <w:pageBreakBefore w:val="0"/>
        <w:kinsoku/>
        <w:wordWrap/>
        <w:overflowPunct/>
        <w:topLinePunct w:val="0"/>
        <w:bidi w:val="0"/>
        <w:spacing w:before="0" w:after="0" w:line="570" w:lineRule="exact"/>
        <w:rPr>
          <w:rFonts w:ascii="仿宋" w:hAnsi="仿宋" w:eastAsia="仿宋"/>
          <w:color w:val="auto"/>
          <w:highlight w:val="none"/>
        </w:rPr>
      </w:pPr>
      <w:bookmarkStart w:id="60" w:name="_Toc10336"/>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入总表</w:t>
      </w:r>
      <w:bookmarkEnd w:id="60"/>
    </w:p>
    <w:p>
      <w:pPr>
        <w:pStyle w:val="4"/>
        <w:pageBreakBefore w:val="0"/>
        <w:kinsoku/>
        <w:wordWrap/>
        <w:overflowPunct/>
        <w:topLinePunct w:val="0"/>
        <w:bidi w:val="0"/>
        <w:spacing w:before="0" w:after="0" w:line="570" w:lineRule="exact"/>
        <w:rPr>
          <w:rFonts w:ascii="仿宋" w:hAnsi="仿宋" w:eastAsia="仿宋"/>
          <w:color w:val="auto"/>
          <w:highlight w:val="none"/>
        </w:rPr>
      </w:pPr>
      <w:bookmarkStart w:id="61" w:name="_Toc28646"/>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出总表</w:t>
      </w:r>
      <w:bookmarkEnd w:id="61"/>
    </w:p>
    <w:p>
      <w:pPr>
        <w:pStyle w:val="4"/>
        <w:pageBreakBefore w:val="0"/>
        <w:kinsoku/>
        <w:wordWrap/>
        <w:overflowPunct/>
        <w:topLinePunct w:val="0"/>
        <w:bidi w:val="0"/>
        <w:spacing w:before="0" w:after="0" w:line="570" w:lineRule="exact"/>
        <w:rPr>
          <w:rFonts w:ascii="仿宋" w:hAnsi="仿宋" w:eastAsia="仿宋"/>
          <w:b w:val="0"/>
          <w:color w:val="auto"/>
          <w:highlight w:val="none"/>
        </w:rPr>
      </w:pPr>
      <w:bookmarkStart w:id="62" w:name="_Toc18608"/>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62"/>
    </w:p>
    <w:p>
      <w:pPr>
        <w:pStyle w:val="4"/>
        <w:pageBreakBefore w:val="0"/>
        <w:kinsoku/>
        <w:wordWrap/>
        <w:overflowPunct/>
        <w:topLinePunct w:val="0"/>
        <w:bidi w:val="0"/>
        <w:spacing w:before="0" w:after="0" w:line="570" w:lineRule="exact"/>
        <w:rPr>
          <w:rFonts w:ascii="仿宋" w:hAnsi="仿宋" w:eastAsia="仿宋"/>
          <w:color w:val="auto"/>
          <w:highlight w:val="none"/>
        </w:rPr>
      </w:pPr>
      <w:bookmarkStart w:id="63" w:name="_Toc2226"/>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政拨款支出决算明细表（政府经济分类科目）</w:t>
      </w:r>
      <w:bookmarkEnd w:id="63"/>
    </w:p>
    <w:p>
      <w:pPr>
        <w:pStyle w:val="4"/>
        <w:pageBreakBefore w:val="0"/>
        <w:kinsoku/>
        <w:wordWrap/>
        <w:overflowPunct/>
        <w:topLinePunct w:val="0"/>
        <w:bidi w:val="0"/>
        <w:spacing w:before="0" w:after="0" w:line="570" w:lineRule="exact"/>
        <w:rPr>
          <w:rFonts w:ascii="仿宋" w:hAnsi="仿宋" w:eastAsia="仿宋"/>
          <w:color w:val="auto"/>
          <w:highlight w:val="none"/>
        </w:rPr>
      </w:pPr>
      <w:bookmarkStart w:id="64" w:name="_Toc8258"/>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64"/>
    </w:p>
    <w:p>
      <w:pPr>
        <w:pStyle w:val="4"/>
        <w:pageBreakBefore w:val="0"/>
        <w:kinsoku/>
        <w:wordWrap/>
        <w:overflowPunct/>
        <w:topLinePunct w:val="0"/>
        <w:bidi w:val="0"/>
        <w:spacing w:before="0" w:after="0" w:line="570" w:lineRule="exact"/>
        <w:rPr>
          <w:rFonts w:ascii="仿宋" w:hAnsi="仿宋" w:eastAsia="仿宋"/>
          <w:color w:val="auto"/>
          <w:highlight w:val="none"/>
        </w:rPr>
      </w:pPr>
      <w:bookmarkStart w:id="65" w:name="_Toc28351"/>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65"/>
    </w:p>
    <w:p>
      <w:pPr>
        <w:pStyle w:val="4"/>
        <w:pageBreakBefore w:val="0"/>
        <w:kinsoku/>
        <w:wordWrap/>
        <w:overflowPunct/>
        <w:topLinePunct w:val="0"/>
        <w:bidi w:val="0"/>
        <w:spacing w:before="0" w:after="0" w:line="570" w:lineRule="exact"/>
        <w:rPr>
          <w:rFonts w:ascii="仿宋" w:hAnsi="仿宋" w:eastAsia="仿宋"/>
          <w:color w:val="auto"/>
          <w:highlight w:val="none"/>
        </w:rPr>
      </w:pPr>
      <w:bookmarkStart w:id="66" w:name="_Toc12271"/>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66"/>
    </w:p>
    <w:p>
      <w:pPr>
        <w:pStyle w:val="4"/>
        <w:pageBreakBefore w:val="0"/>
        <w:kinsoku/>
        <w:wordWrap/>
        <w:overflowPunct/>
        <w:topLinePunct w:val="0"/>
        <w:bidi w:val="0"/>
        <w:spacing w:before="0" w:after="0" w:line="570" w:lineRule="exact"/>
        <w:rPr>
          <w:rFonts w:ascii="仿宋" w:hAnsi="仿宋" w:eastAsia="仿宋"/>
          <w:color w:val="auto"/>
          <w:highlight w:val="none"/>
        </w:rPr>
      </w:pPr>
      <w:bookmarkStart w:id="67" w:name="_Toc2504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67"/>
    </w:p>
    <w:p>
      <w:pPr>
        <w:pStyle w:val="4"/>
        <w:pageBreakBefore w:val="0"/>
        <w:kinsoku/>
        <w:wordWrap/>
        <w:overflowPunct/>
        <w:topLinePunct w:val="0"/>
        <w:bidi w:val="0"/>
        <w:spacing w:before="0" w:after="0" w:line="570" w:lineRule="exact"/>
        <w:rPr>
          <w:rFonts w:ascii="仿宋" w:hAnsi="仿宋" w:eastAsia="仿宋"/>
          <w:color w:val="auto"/>
          <w:highlight w:val="none"/>
        </w:rPr>
      </w:pPr>
      <w:bookmarkStart w:id="68" w:name="_Toc14695"/>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68"/>
    </w:p>
    <w:p>
      <w:pPr>
        <w:pStyle w:val="4"/>
        <w:pageBreakBefore w:val="0"/>
        <w:kinsoku/>
        <w:wordWrap/>
        <w:overflowPunct/>
        <w:topLinePunct w:val="0"/>
        <w:bidi w:val="0"/>
        <w:spacing w:before="0" w:after="0" w:line="570" w:lineRule="exact"/>
        <w:rPr>
          <w:rFonts w:ascii="仿宋" w:hAnsi="仿宋" w:eastAsia="仿宋"/>
          <w:color w:val="auto"/>
          <w:highlight w:val="none"/>
        </w:rPr>
      </w:pPr>
      <w:bookmarkStart w:id="69" w:name="_Toc16845"/>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69"/>
    </w:p>
    <w:p>
      <w:pPr>
        <w:pStyle w:val="4"/>
        <w:pageBreakBefore w:val="0"/>
        <w:kinsoku/>
        <w:wordWrap/>
        <w:overflowPunct/>
        <w:topLinePunct w:val="0"/>
        <w:bidi w:val="0"/>
        <w:spacing w:before="0" w:after="0" w:line="570" w:lineRule="exact"/>
        <w:rPr>
          <w:rFonts w:ascii="仿宋" w:hAnsi="仿宋" w:eastAsia="仿宋"/>
          <w:color w:val="auto"/>
          <w:highlight w:val="none"/>
        </w:rPr>
      </w:pPr>
      <w:bookmarkStart w:id="70" w:name="_Toc13964"/>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70"/>
    </w:p>
    <w:p>
      <w:pPr>
        <w:pStyle w:val="4"/>
        <w:pageBreakBefore w:val="0"/>
        <w:kinsoku/>
        <w:wordWrap/>
        <w:overflowPunct/>
        <w:topLinePunct w:val="0"/>
        <w:bidi w:val="0"/>
        <w:spacing w:before="0" w:after="0" w:line="570" w:lineRule="exact"/>
        <w:rPr>
          <w:rFonts w:ascii="仿宋" w:hAnsi="仿宋" w:eastAsia="仿宋"/>
          <w:color w:val="auto"/>
          <w:highlight w:val="none"/>
        </w:rPr>
      </w:pPr>
      <w:bookmarkStart w:id="71" w:name="_Toc15594"/>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有资本经营预算支出决算表</w:t>
      </w:r>
      <w:bookmarkEnd w:id="7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9"/>
          <w:jc w:val="center"/>
        </w:pPr>
        <w:r>
          <w:fldChar w:fldCharType="begin"/>
        </w:r>
        <w:r>
          <w:instrText xml:space="preserve">PAGE   \* MERGEFORMAT</w:instrText>
        </w:r>
        <w:r>
          <w:fldChar w:fldCharType="separate"/>
        </w:r>
        <w:r>
          <w:rPr>
            <w:lang w:val="zh-CN"/>
          </w:rPr>
          <w:t>10</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A36BB"/>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F625BC"/>
    <w:rsid w:val="0E3F76C9"/>
    <w:rsid w:val="10C055FF"/>
    <w:rsid w:val="10ED6ED4"/>
    <w:rsid w:val="113940C3"/>
    <w:rsid w:val="11BE6A90"/>
    <w:rsid w:val="11DA6564"/>
    <w:rsid w:val="13A230FA"/>
    <w:rsid w:val="16BB723D"/>
    <w:rsid w:val="1AFD11C6"/>
    <w:rsid w:val="1B8C79EC"/>
    <w:rsid w:val="1CBA6D8D"/>
    <w:rsid w:val="1D303EBC"/>
    <w:rsid w:val="1E255EA8"/>
    <w:rsid w:val="219976F5"/>
    <w:rsid w:val="21D725AD"/>
    <w:rsid w:val="23717324"/>
    <w:rsid w:val="240371BF"/>
    <w:rsid w:val="270F3158"/>
    <w:rsid w:val="28EB1558"/>
    <w:rsid w:val="29DD1CEA"/>
    <w:rsid w:val="29FD04D3"/>
    <w:rsid w:val="2BCA464F"/>
    <w:rsid w:val="2D2A0D52"/>
    <w:rsid w:val="319F7F4E"/>
    <w:rsid w:val="34AF3132"/>
    <w:rsid w:val="36A30F8D"/>
    <w:rsid w:val="38C62018"/>
    <w:rsid w:val="3C5A517F"/>
    <w:rsid w:val="3D0330B0"/>
    <w:rsid w:val="3E740C95"/>
    <w:rsid w:val="406321DB"/>
    <w:rsid w:val="43344D3B"/>
    <w:rsid w:val="46D461B3"/>
    <w:rsid w:val="47BA50B0"/>
    <w:rsid w:val="4B1B50F6"/>
    <w:rsid w:val="4EAA749D"/>
    <w:rsid w:val="5261262D"/>
    <w:rsid w:val="581D759D"/>
    <w:rsid w:val="58AC3319"/>
    <w:rsid w:val="59850734"/>
    <w:rsid w:val="5A7577AD"/>
    <w:rsid w:val="5CA93A5E"/>
    <w:rsid w:val="5D406816"/>
    <w:rsid w:val="5E310814"/>
    <w:rsid w:val="5E435155"/>
    <w:rsid w:val="622F418F"/>
    <w:rsid w:val="63AC1240"/>
    <w:rsid w:val="64C05538"/>
    <w:rsid w:val="671400C9"/>
    <w:rsid w:val="67471769"/>
    <w:rsid w:val="69E451A5"/>
    <w:rsid w:val="6B29491E"/>
    <w:rsid w:val="6C6A672F"/>
    <w:rsid w:val="6D6725B3"/>
    <w:rsid w:val="6D6B7484"/>
    <w:rsid w:val="6E4D37A2"/>
    <w:rsid w:val="705E38F0"/>
    <w:rsid w:val="757F6FFD"/>
    <w:rsid w:val="760F72DA"/>
    <w:rsid w:val="7A5B1046"/>
    <w:rsid w:val="7A7426CB"/>
    <w:rsid w:val="7B3044F2"/>
    <w:rsid w:val="7E5246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jc w:val="left"/>
    </w:pPr>
    <w:rPr>
      <w:rFonts w:ascii="Arial Unicode MS" w:hAnsi="Arial Unicode MS" w:eastAsia="Arial Unicode MS" w:cs="Arial Unicode MS"/>
      <w:color w:val="000000"/>
      <w:sz w:val="24"/>
      <w:szCs w:val="32"/>
      <w:lang w:val="zh-CN"/>
    </w:r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36798;&#24030;&#24066;2018&#24180;&#24230;&#37096;&#38376;&#20915;&#31639;&#20449;&#24687;&#20844;&#24320;&#38468;&#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36798;&#24030;&#24066;2018&#24180;&#24230;&#37096;&#38376;&#20915;&#31639;&#20449;&#24687;&#20844;&#24320;&#38468;&#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36798;&#24030;&#24066;2018&#24180;&#24230;&#37096;&#38376;&#20915;&#31639;&#20449;&#24687;&#20844;&#24320;&#38468;&#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X%20&#24037;&#20316;&#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36798;&#24030;&#24066;2018&#24180;&#24230;&#37096;&#38376;&#20915;&#31639;&#20449;&#24687;&#20844;&#24320;&#38468;&#22270;.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700"/>
              <a:t>单位：万元</a:t>
            </a:r>
            <a:endParaRPr sz="700"/>
          </a:p>
        </c:rich>
      </c:tx>
      <c:layout>
        <c:manualLayout>
          <c:xMode val="edge"/>
          <c:yMode val="edge"/>
          <c:x val="0.0116666666666667"/>
          <c:y val="0.05"/>
        </c:manualLayout>
      </c:layout>
      <c:overlay val="0"/>
      <c:spPr>
        <a:noFill/>
        <a:ln>
          <a:noFill/>
        </a:ln>
        <a:effectLst/>
      </c:spPr>
    </c:title>
    <c:autoTitleDeleted val="0"/>
    <c:plotArea>
      <c:layout/>
      <c:barChart>
        <c:barDir val="col"/>
        <c:grouping val="clustered"/>
        <c:varyColors val="0"/>
        <c:ser>
          <c:idx val="0"/>
          <c:order val="0"/>
          <c:tx>
            <c:strRef>
              <c:f>"万元"</c:f>
              <c:strCache>
                <c:ptCount val="1"/>
                <c:pt idx="0">
                  <c:v>万元</c:v>
                </c:pt>
              </c:strCache>
            </c:strRef>
          </c:tx>
          <c:spPr>
            <a:solidFill>
              <a:schemeClr val="accent1"/>
            </a:solidFill>
            <a:ln>
              <a:noFill/>
            </a:ln>
            <a:effectLst/>
          </c:spPr>
          <c:invertIfNegative val="0"/>
          <c:dLbls>
            <c:delete val="1"/>
          </c:dLbls>
          <c:cat>
            <c:strRef>
              <c:f>[达州市2018年度部门决算信息公开附图.xlsx]Sheet1!$A$2:$A$3</c:f>
              <c:strCache>
                <c:ptCount val="2"/>
                <c:pt idx="0">
                  <c:v>2018年度收、支总计</c:v>
                </c:pt>
                <c:pt idx="1">
                  <c:v>2017年度收、支总计</c:v>
                </c:pt>
              </c:strCache>
            </c:strRef>
          </c:cat>
          <c:val>
            <c:numRef>
              <c:f>[达州市2018年度部门决算信息公开附图.xlsx]Sheet1!$B$2:$B$3</c:f>
              <c:numCache>
                <c:formatCode>General</c:formatCode>
                <c:ptCount val="2"/>
                <c:pt idx="0">
                  <c:v>29846.78</c:v>
                </c:pt>
                <c:pt idx="1">
                  <c:v>13440.44</c:v>
                </c:pt>
              </c:numCache>
            </c:numRef>
          </c:val>
        </c:ser>
        <c:dLbls>
          <c:showLegendKey val="0"/>
          <c:showVal val="0"/>
          <c:showCatName val="0"/>
          <c:showSerName val="0"/>
          <c:showPercent val="0"/>
          <c:showBubbleSize val="0"/>
        </c:dLbls>
        <c:gapWidth val="150"/>
        <c:overlap val="0"/>
        <c:axId val="704407516"/>
        <c:axId val="43805743"/>
      </c:barChart>
      <c:catAx>
        <c:axId val="7044075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05743"/>
        <c:crosses val="autoZero"/>
        <c:auto val="1"/>
        <c:lblAlgn val="ctr"/>
        <c:lblOffset val="100"/>
        <c:noMultiLvlLbl val="0"/>
      </c:catAx>
      <c:valAx>
        <c:axId val="438057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44075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doughnut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1"/>
                  <c:y val="0.00833333333333333"/>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46666666666667"/>
                  <c:y val="0.00833333333333333"/>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工作表.xlsx]Sheet2'!$A$3:$A$9</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'[新建 XLSX 工作表.xlsx]Sheet2'!$B$3:$B$9</c:f>
              <c:numCache>
                <c:formatCode>General</c:formatCode>
                <c:ptCount val="7"/>
                <c:pt idx="0">
                  <c:v>9063.45</c:v>
                </c:pt>
                <c:pt idx="1">
                  <c:v>10698.7</c:v>
                </c:pt>
                <c:pt idx="2">
                  <c:v>0</c:v>
                </c:pt>
                <c:pt idx="3">
                  <c:v>0</c:v>
                </c:pt>
                <c:pt idx="4">
                  <c:v>0</c:v>
                </c:pt>
                <c:pt idx="5">
                  <c:v>0</c:v>
                </c:pt>
                <c:pt idx="6">
                  <c:v>0</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2018</a:t>
            </a:r>
            <a:r>
              <a:rPr altLang="en-US"/>
              <a:t>年</a:t>
            </a: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601674902733889"/>
                  <c:y val="0.011858682503885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51507673202704"/>
                  <c:y val="-0.078525347237751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delete val="1"/>
            </c:dLbl>
            <c:dLbl>
              <c:idx val="3"/>
              <c:delete val="1"/>
            </c:dLbl>
            <c:dLbl>
              <c:idx val="4"/>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[达州市2018年度部门决算信息公开附图.xlsx]Sheet3!$A$2:$A$6</c:f>
              <c:strCache>
                <c:ptCount val="5"/>
                <c:pt idx="0">
                  <c:v>基本支出</c:v>
                </c:pt>
                <c:pt idx="1">
                  <c:v>项目支出</c:v>
                </c:pt>
                <c:pt idx="2">
                  <c:v>上缴上级支出</c:v>
                </c:pt>
                <c:pt idx="3">
                  <c:v>经营支出</c:v>
                </c:pt>
                <c:pt idx="4">
                  <c:v>对附属单位补助支出</c:v>
                </c:pt>
              </c:strCache>
            </c:strRef>
          </c:cat>
          <c:val>
            <c:numRef>
              <c:f>[达州市2018年度部门决算信息公开附图.xlsx]Sheet3!$B$2:$B$6</c:f>
              <c:numCache>
                <c:formatCode>General</c:formatCode>
                <c:ptCount val="5"/>
                <c:pt idx="0">
                  <c:v>760.96</c:v>
                </c:pt>
                <c:pt idx="1">
                  <c:v>17865.3</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0751388888888889"/>
          <c:y val="0.14421296296296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[达州市2018年度部门决算信息公开附图.xlsx]Sheet4!$A$5:$A$8</c:f>
              <c:strCache>
                <c:ptCount val="4"/>
                <c:pt idx="0">
                  <c:v>2018年财政拨款收入</c:v>
                </c:pt>
                <c:pt idx="1">
                  <c:v>2017年财政拨款收入</c:v>
                </c:pt>
                <c:pt idx="2">
                  <c:v>2018年财政拨款支出</c:v>
                </c:pt>
                <c:pt idx="3">
                  <c:v>2017年财政拨款支出</c:v>
                </c:pt>
              </c:strCache>
            </c:strRef>
          </c:cat>
          <c:val>
            <c:numRef>
              <c:f>[达州市2018年度部门决算信息公开附图.xlsx]Sheet4!$B$5:$B$8</c:f>
              <c:numCache>
                <c:formatCode>General</c:formatCode>
                <c:ptCount val="4"/>
                <c:pt idx="0">
                  <c:v>19762.15</c:v>
                </c:pt>
                <c:pt idx="1">
                  <c:v>11268.54</c:v>
                </c:pt>
                <c:pt idx="2">
                  <c:v>18624.26</c:v>
                </c:pt>
                <c:pt idx="3">
                  <c:v>3278.73</c:v>
                </c:pt>
              </c:numCache>
            </c:numRef>
          </c:val>
        </c:ser>
        <c:dLbls>
          <c:showLegendKey val="0"/>
          <c:showVal val="0"/>
          <c:showCatName val="0"/>
          <c:showSerName val="0"/>
          <c:showPercent val="0"/>
          <c:showBubbleSize val="0"/>
        </c:dLbls>
        <c:gapWidth val="150"/>
        <c:overlap val="0"/>
        <c:axId val="498235557"/>
        <c:axId val="850939871"/>
      </c:barChart>
      <c:catAx>
        <c:axId val="49823555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939871"/>
        <c:crosses val="autoZero"/>
        <c:auto val="1"/>
        <c:lblAlgn val="ctr"/>
        <c:lblOffset val="100"/>
        <c:noMultiLvlLbl val="0"/>
      </c:catAx>
      <c:valAx>
        <c:axId val="8509398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823555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delete val="1"/>
          </c:dLbls>
          <c:cat>
            <c:strRef>
              <c:f>'[新建 XLSX 工作表.xlsx]Sheet5'!$A$1:$A$2</c:f>
              <c:strCache>
                <c:ptCount val="2"/>
                <c:pt idx="0">
                  <c:v>2018年一般公共预算财政拨款支出</c:v>
                </c:pt>
                <c:pt idx="1">
                  <c:v>2017年一般公共预算财政拨款支出</c:v>
                </c:pt>
              </c:strCache>
            </c:strRef>
          </c:cat>
          <c:val>
            <c:numRef>
              <c:f>'[新建 XLSX 工作表.xlsx]Sheet5'!$B$1:$B$2</c:f>
              <c:numCache>
                <c:formatCode>General</c:formatCode>
                <c:ptCount val="2"/>
                <c:pt idx="0">
                  <c:v>10189.42</c:v>
                </c:pt>
                <c:pt idx="1">
                  <c:v>1029.05</c:v>
                </c:pt>
              </c:numCache>
            </c:numRef>
          </c:val>
        </c:ser>
        <c:dLbls>
          <c:showLegendKey val="0"/>
          <c:showVal val="0"/>
          <c:showCatName val="0"/>
          <c:showSerName val="0"/>
          <c:showPercent val="0"/>
          <c:showBubbleSize val="0"/>
        </c:dLbls>
        <c:gapWidth val="95"/>
        <c:overlap val="100"/>
        <c:axId val="430624367"/>
        <c:axId val="256703195"/>
      </c:barChart>
      <c:catAx>
        <c:axId val="4306243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6703195"/>
        <c:crosses val="autoZero"/>
        <c:auto val="1"/>
        <c:lblAlgn val="ctr"/>
        <c:lblOffset val="100"/>
        <c:noMultiLvlLbl val="0"/>
      </c:catAx>
      <c:valAx>
        <c:axId val="2567031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062436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工作表.xlsx]Sheet6'!$A$2:$A$10</c:f>
              <c:strCache>
                <c:ptCount val="9"/>
                <c:pt idx="0">
                  <c:v>一般公共服务（类）支出</c:v>
                </c:pt>
                <c:pt idx="1">
                  <c:v>社会保障和就类支出</c:v>
                </c:pt>
                <c:pt idx="2">
                  <c:v>医疗卫生与计划生育支出</c:v>
                </c:pt>
                <c:pt idx="3">
                  <c:v>节能环保支出</c:v>
                </c:pt>
                <c:pt idx="4">
                  <c:v>城乡社区支出</c:v>
                </c:pt>
                <c:pt idx="5">
                  <c:v>交通运输支出</c:v>
                </c:pt>
                <c:pt idx="6">
                  <c:v>资源勘探信息等支出</c:v>
                </c:pt>
                <c:pt idx="7">
                  <c:v>商品服务业等支出</c:v>
                </c:pt>
                <c:pt idx="8">
                  <c:v>住房保障支出</c:v>
                </c:pt>
              </c:strCache>
            </c:strRef>
          </c:cat>
          <c:val>
            <c:numRef>
              <c:f>'[新建 XLSX 工作表.xlsx]Sheet6'!$B$2:$B$10</c:f>
              <c:numCache>
                <c:formatCode>General</c:formatCode>
                <c:ptCount val="9"/>
                <c:pt idx="0">
                  <c:v>1.44</c:v>
                </c:pt>
                <c:pt idx="1">
                  <c:v>114.35</c:v>
                </c:pt>
                <c:pt idx="2">
                  <c:v>28.53</c:v>
                </c:pt>
                <c:pt idx="3">
                  <c:v>20</c:v>
                </c:pt>
                <c:pt idx="4">
                  <c:v>4046.42</c:v>
                </c:pt>
                <c:pt idx="5">
                  <c:v>4937.01</c:v>
                </c:pt>
                <c:pt idx="6">
                  <c:v>1001.24</c:v>
                </c:pt>
                <c:pt idx="7">
                  <c:v>5.16</c:v>
                </c:pt>
                <c:pt idx="8">
                  <c:v>35.6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一般公共预算财政拨款基本支出决算表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54620873454412"/>
                  <c:y val="-0.11128309209878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26165213629055"/>
                  <c:y val="0.064254898603067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[达州市2018年度部门决算信息公开附图.xlsx]Sheet8!$A$2:$A$3</c:f>
              <c:strCache>
                <c:ptCount val="2"/>
                <c:pt idx="0">
                  <c:v>人员经费</c:v>
                </c:pt>
                <c:pt idx="1">
                  <c:v>公用经费</c:v>
                </c:pt>
              </c:strCache>
            </c:strRef>
          </c:cat>
          <c:val>
            <c:numRef>
              <c:f>[达州市2018年度部门决算信息公开附图.xlsx]Sheet8!$B$2:$B$3</c:f>
              <c:numCache>
                <c:formatCode>General</c:formatCode>
                <c:ptCount val="2"/>
                <c:pt idx="0">
                  <c:v>698.45</c:v>
                </c:pt>
                <c:pt idx="1">
                  <c:v>60.51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903620003320829"/>
                  <c:y val="0.0025249472340565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923017951252589"/>
                  <c:y val="-0.073402610389444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073919484120672"/>
                  <c:y val="-0.069093664259427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工作表.xlsx]Sheet7'!$A$2:$A$4</c:f>
              <c:strCache>
                <c:ptCount val="3"/>
                <c:pt idx="0">
                  <c:v>因公出国（境）费支出决算</c:v>
                </c:pt>
                <c:pt idx="1">
                  <c:v>公务用车购置及运行维护费支出决算</c:v>
                </c:pt>
                <c:pt idx="2">
                  <c:v>公务接待费支出决算</c:v>
                </c:pt>
              </c:strCache>
            </c:strRef>
          </c:cat>
          <c:val>
            <c:numRef>
              <c:f>'[新建 XLSX 工作表.xlsx]Sheet7'!$B$2:$B$4</c:f>
              <c:numCache>
                <c:formatCode>General</c:formatCode>
                <c:ptCount val="3"/>
                <c:pt idx="0">
                  <c:v>1.96</c:v>
                </c:pt>
                <c:pt idx="1">
                  <c:v>4</c:v>
                </c:pt>
                <c:pt idx="2">
                  <c:v>3.54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18</TotalTime>
  <ScaleCrop>false</ScaleCrop>
  <LinksUpToDate>false</LinksUpToDate>
  <CharactersWithSpaces>9641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郑军</cp:lastModifiedBy>
  <cp:lastPrinted>2019-09-12T02:54:00Z</cp:lastPrinted>
  <dcterms:modified xsi:type="dcterms:W3CDTF">2019-09-16T02:54:15Z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