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left"/>
        <w:rPr>
          <w:rFonts w:hint="eastAsia" w:ascii="黑体" w:hAnsi="黑体" w:eastAsia="黑体" w:cs="黑体"/>
          <w:color w:val="000000"/>
          <w:sz w:val="32"/>
          <w:szCs w:val="32"/>
          <w:lang w:val="en-US" w:eastAsia="zh-CN" w:bidi="ar"/>
        </w:rPr>
      </w:pPr>
      <w:r>
        <w:rPr>
          <w:rFonts w:hint="eastAsia" w:ascii="黑体" w:hAnsi="黑体" w:eastAsia="黑体" w:cs="黑体"/>
          <w:color w:val="000000"/>
          <w:sz w:val="32"/>
          <w:szCs w:val="32"/>
          <w:lang w:eastAsia="zh-CN" w:bidi="ar"/>
        </w:rPr>
        <w:t>附件</w:t>
      </w:r>
      <w:r>
        <w:rPr>
          <w:rFonts w:hint="eastAsia" w:ascii="黑体" w:hAnsi="黑体" w:eastAsia="黑体" w:cs="黑体"/>
          <w:color w:val="000000"/>
          <w:sz w:val="32"/>
          <w:szCs w:val="32"/>
          <w:lang w:val="en-US" w:eastAsia="zh-CN" w:bidi="ar"/>
        </w:rPr>
        <w:t>1</w:t>
      </w:r>
    </w:p>
    <w:p>
      <w:pPr>
        <w:ind w:firstLine="0" w:firstLineChars="0"/>
        <w:jc w:val="center"/>
        <w:rPr>
          <w:rFonts w:hint="eastAsia" w:ascii="方正小标宋简体" w:hAnsi="方正小标宋简体" w:eastAsia="方正小标宋简体" w:cs="方正小标宋简体"/>
          <w:color w:val="000000"/>
          <w:sz w:val="44"/>
          <w:szCs w:val="44"/>
          <w:lang w:eastAsia="zh-CN" w:bidi="ar"/>
        </w:rPr>
      </w:pPr>
    </w:p>
    <w:p>
      <w:pPr>
        <w:ind w:firstLine="0" w:firstLineChars="0"/>
        <w:jc w:val="center"/>
        <w:rPr>
          <w:rFonts w:ascii="黑体" w:eastAsia="黑体"/>
          <w:b/>
          <w:sz w:val="28"/>
          <w:szCs w:val="28"/>
        </w:rPr>
      </w:pPr>
      <w:r>
        <w:rPr>
          <w:rFonts w:hint="eastAsia" w:ascii="方正小标宋简体" w:hAnsi="方正小标宋简体" w:eastAsia="方正小标宋简体" w:cs="方正小标宋简体"/>
          <w:color w:val="000000"/>
          <w:sz w:val="44"/>
          <w:szCs w:val="44"/>
          <w:lang w:eastAsia="zh-CN" w:bidi="ar"/>
        </w:rPr>
        <w:t>视频会议系统需求说明书</w:t>
      </w:r>
    </w:p>
    <w:p>
      <w:pPr>
        <w:pStyle w:val="2"/>
        <w:ind w:firstLine="420"/>
      </w:pPr>
    </w:p>
    <w:p>
      <w:pPr>
        <w:ind w:firstLine="0" w:firstLineChars="0"/>
        <w:jc w:val="center"/>
        <w:rPr>
          <w:rFonts w:ascii="黑体" w:eastAsia="黑体"/>
          <w:b/>
          <w:sz w:val="28"/>
          <w:szCs w:val="28"/>
        </w:rPr>
      </w:pPr>
    </w:p>
    <w:p>
      <w:pPr>
        <w:pStyle w:val="2"/>
        <w:ind w:firstLine="571"/>
        <w:rPr>
          <w:rFonts w:ascii="黑体" w:eastAsia="黑体"/>
          <w:b/>
          <w:sz w:val="28"/>
          <w:szCs w:val="28"/>
        </w:rPr>
      </w:pPr>
    </w:p>
    <w:p>
      <w:pPr>
        <w:pStyle w:val="2"/>
        <w:ind w:firstLine="571"/>
        <w:rPr>
          <w:rFonts w:ascii="黑体" w:eastAsia="黑体"/>
          <w:b/>
          <w:sz w:val="28"/>
          <w:szCs w:val="28"/>
        </w:rPr>
      </w:pPr>
    </w:p>
    <w:p>
      <w:pPr>
        <w:pStyle w:val="2"/>
        <w:ind w:firstLine="571"/>
        <w:rPr>
          <w:rFonts w:ascii="黑体" w:eastAsia="黑体"/>
          <w:b/>
          <w:sz w:val="28"/>
          <w:szCs w:val="28"/>
        </w:rPr>
      </w:pPr>
    </w:p>
    <w:p>
      <w:pPr>
        <w:pStyle w:val="2"/>
        <w:ind w:firstLine="571"/>
        <w:rPr>
          <w:rFonts w:ascii="黑体" w:eastAsia="黑体"/>
          <w:b/>
          <w:sz w:val="28"/>
          <w:szCs w:val="28"/>
        </w:rPr>
      </w:pPr>
    </w:p>
    <w:p>
      <w:pPr>
        <w:pStyle w:val="2"/>
        <w:ind w:firstLine="571"/>
        <w:rPr>
          <w:rFonts w:ascii="黑体" w:eastAsia="黑体"/>
          <w:b/>
          <w:sz w:val="28"/>
          <w:szCs w:val="28"/>
        </w:rPr>
      </w:pPr>
    </w:p>
    <w:p>
      <w:pPr>
        <w:pStyle w:val="2"/>
        <w:ind w:firstLine="0" w:firstLineChars="0"/>
        <w:rPr>
          <w:rFonts w:ascii="黑体" w:eastAsia="黑体"/>
          <w:b/>
          <w:sz w:val="28"/>
          <w:szCs w:val="28"/>
        </w:rPr>
      </w:pPr>
    </w:p>
    <w:p>
      <w:pPr>
        <w:ind w:firstLine="0" w:firstLineChars="0"/>
        <w:jc w:val="center"/>
      </w:pPr>
    </w:p>
    <w:p>
      <w:pPr>
        <w:pStyle w:val="2"/>
        <w:ind w:firstLine="3600" w:firstLineChars="1000"/>
        <w:jc w:val="both"/>
        <w:rPr>
          <w:rFonts w:ascii="黑体" w:hAnsi="黑体" w:eastAsia="黑体"/>
          <w:sz w:val="36"/>
          <w:szCs w:val="36"/>
        </w:rPr>
      </w:pPr>
      <w:r>
        <w:rPr>
          <w:rFonts w:ascii="黑体" w:hAnsi="黑体" w:eastAsia="黑体"/>
          <w:sz w:val="36"/>
          <w:szCs w:val="36"/>
        </w:rPr>
        <w:br w:type="page"/>
      </w:r>
    </w:p>
    <w:sdt>
      <w:sdtPr>
        <w:rPr>
          <w:rFonts w:ascii="Times New Roman" w:hAnsi="Times New Roman" w:eastAsia="宋体" w:cs="Times New Roman"/>
          <w:snapToGrid w:val="0"/>
          <w:color w:val="auto"/>
          <w:sz w:val="21"/>
          <w:szCs w:val="21"/>
          <w:lang w:val="zh-CN"/>
        </w:rPr>
        <w:id w:val="-505440685"/>
        <w:docPartObj>
          <w:docPartGallery w:val="Table of Contents"/>
          <w:docPartUnique/>
        </w:docPartObj>
      </w:sdtPr>
      <w:sdtEndPr>
        <w:rPr>
          <w:rFonts w:ascii="Times New Roman" w:hAnsi="Times New Roman" w:eastAsia="宋体" w:cs="Times New Roman"/>
          <w:b/>
          <w:bCs/>
          <w:snapToGrid w:val="0"/>
          <w:color w:val="auto"/>
          <w:sz w:val="21"/>
          <w:szCs w:val="21"/>
          <w:lang w:val="zh-CN"/>
        </w:rPr>
      </w:sdtEndPr>
      <w:sdtContent>
        <w:p>
          <w:pPr>
            <w:pStyle w:val="52"/>
            <w:ind w:firstLine="420"/>
            <w:jc w:val="center"/>
          </w:pPr>
          <w:r>
            <w:rPr>
              <w:lang w:val="zh-CN"/>
            </w:rPr>
            <w:t>目录</w:t>
          </w:r>
        </w:p>
        <w:p>
          <w:pPr>
            <w:pStyle w:val="18"/>
            <w:tabs>
              <w:tab w:val="right" w:leader="dot" w:pos="9736"/>
            </w:tabs>
            <w:rPr>
              <w:rFonts w:asciiTheme="minorHAnsi" w:hAnsiTheme="minorHAnsi" w:eastAsiaTheme="minorEastAsia" w:cstheme="minorBidi"/>
              <w:snapToGrid/>
              <w:kern w:val="2"/>
              <w:szCs w:val="22"/>
              <w14:ligatures w14:val="standardContextual"/>
            </w:rPr>
          </w:pPr>
          <w:r>
            <w:fldChar w:fldCharType="begin"/>
          </w:r>
          <w:r>
            <w:instrText xml:space="preserve"> TOC \o "1-3" \h \z \u </w:instrText>
          </w:r>
          <w:r>
            <w:fldChar w:fldCharType="separate"/>
          </w:r>
          <w:r>
            <w:fldChar w:fldCharType="begin"/>
          </w:r>
          <w:r>
            <w:instrText xml:space="preserve"> HYPERLINK \l "_Toc139977556" </w:instrText>
          </w:r>
          <w:r>
            <w:fldChar w:fldCharType="separate"/>
          </w:r>
          <w:r>
            <w:rPr>
              <w:rStyle w:val="27"/>
            </w:rPr>
            <w:t>一 项目概述</w:t>
          </w:r>
          <w:r>
            <w:tab/>
          </w:r>
          <w:r>
            <w:fldChar w:fldCharType="begin"/>
          </w:r>
          <w:r>
            <w:instrText xml:space="preserve"> PAGEREF _Toc139977556 \h </w:instrText>
          </w:r>
          <w:r>
            <w:fldChar w:fldCharType="separate"/>
          </w:r>
          <w:r>
            <w:t>3</w:t>
          </w:r>
          <w:r>
            <w:fldChar w:fldCharType="end"/>
          </w:r>
          <w:r>
            <w:fldChar w:fldCharType="end"/>
          </w:r>
        </w:p>
        <w:p>
          <w:pPr>
            <w:pStyle w:val="21"/>
            <w:tabs>
              <w:tab w:val="right" w:leader="dot" w:pos="9736"/>
            </w:tabs>
            <w:ind w:left="420"/>
            <w:rPr>
              <w:rFonts w:asciiTheme="minorHAnsi" w:hAnsiTheme="minorHAnsi" w:eastAsiaTheme="minorEastAsia" w:cstheme="minorBidi"/>
              <w:snapToGrid/>
              <w:kern w:val="2"/>
              <w:szCs w:val="22"/>
              <w14:ligatures w14:val="standardContextual"/>
            </w:rPr>
          </w:pPr>
          <w:r>
            <w:fldChar w:fldCharType="begin"/>
          </w:r>
          <w:r>
            <w:instrText xml:space="preserve"> HYPERLINK \l "_Toc139977557" </w:instrText>
          </w:r>
          <w:r>
            <w:fldChar w:fldCharType="separate"/>
          </w:r>
          <w:r>
            <w:rPr>
              <w:rStyle w:val="27"/>
            </w:rPr>
            <w:t>1.1 项目建设背景</w:t>
          </w:r>
          <w:r>
            <w:tab/>
          </w:r>
          <w:r>
            <w:fldChar w:fldCharType="begin"/>
          </w:r>
          <w:r>
            <w:instrText xml:space="preserve"> PAGEREF _Toc139977557 \h </w:instrText>
          </w:r>
          <w:r>
            <w:fldChar w:fldCharType="separate"/>
          </w:r>
          <w:r>
            <w:t>3</w:t>
          </w:r>
          <w:r>
            <w:fldChar w:fldCharType="end"/>
          </w:r>
          <w:r>
            <w:fldChar w:fldCharType="end"/>
          </w:r>
        </w:p>
        <w:p>
          <w:pPr>
            <w:pStyle w:val="21"/>
            <w:tabs>
              <w:tab w:val="right" w:leader="dot" w:pos="9736"/>
            </w:tabs>
            <w:ind w:left="420"/>
            <w:rPr>
              <w:rFonts w:asciiTheme="minorHAnsi" w:hAnsiTheme="minorHAnsi" w:eastAsiaTheme="minorEastAsia" w:cstheme="minorBidi"/>
              <w:snapToGrid/>
              <w:kern w:val="2"/>
              <w:szCs w:val="22"/>
              <w14:ligatures w14:val="standardContextual"/>
            </w:rPr>
          </w:pPr>
          <w:r>
            <w:fldChar w:fldCharType="begin"/>
          </w:r>
          <w:r>
            <w:instrText xml:space="preserve"> HYPERLINK \l "_Toc139977558" </w:instrText>
          </w:r>
          <w:r>
            <w:fldChar w:fldCharType="separate"/>
          </w:r>
          <w:r>
            <w:rPr>
              <w:rStyle w:val="27"/>
            </w:rPr>
            <w:t>1.2 项目建设目标</w:t>
          </w:r>
          <w:r>
            <w:tab/>
          </w:r>
          <w:r>
            <w:fldChar w:fldCharType="begin"/>
          </w:r>
          <w:r>
            <w:instrText xml:space="preserve"> PAGEREF _Toc139977558 \h </w:instrText>
          </w:r>
          <w:r>
            <w:fldChar w:fldCharType="separate"/>
          </w:r>
          <w:r>
            <w:t>3</w:t>
          </w:r>
          <w:r>
            <w:fldChar w:fldCharType="end"/>
          </w:r>
          <w:r>
            <w:fldChar w:fldCharType="end"/>
          </w:r>
        </w:p>
        <w:p>
          <w:pPr>
            <w:pStyle w:val="21"/>
            <w:tabs>
              <w:tab w:val="right" w:leader="dot" w:pos="9736"/>
            </w:tabs>
            <w:ind w:left="420"/>
            <w:rPr>
              <w:rFonts w:asciiTheme="minorHAnsi" w:hAnsiTheme="minorHAnsi" w:eastAsiaTheme="minorEastAsia" w:cstheme="minorBidi"/>
              <w:snapToGrid/>
              <w:kern w:val="2"/>
              <w:szCs w:val="22"/>
              <w14:ligatures w14:val="standardContextual"/>
            </w:rPr>
          </w:pPr>
          <w:r>
            <w:fldChar w:fldCharType="begin"/>
          </w:r>
          <w:r>
            <w:instrText xml:space="preserve"> HYPERLINK \l "_Toc139977559" </w:instrText>
          </w:r>
          <w:r>
            <w:fldChar w:fldCharType="separate"/>
          </w:r>
          <w:r>
            <w:rPr>
              <w:rStyle w:val="27"/>
            </w:rPr>
            <w:t>1.3 项目建设规模</w:t>
          </w:r>
          <w:r>
            <w:tab/>
          </w:r>
          <w:r>
            <w:fldChar w:fldCharType="begin"/>
          </w:r>
          <w:r>
            <w:instrText xml:space="preserve"> PAGEREF _Toc139977559 \h </w:instrText>
          </w:r>
          <w:r>
            <w:fldChar w:fldCharType="separate"/>
          </w:r>
          <w:r>
            <w:t>4</w:t>
          </w:r>
          <w:r>
            <w:fldChar w:fldCharType="end"/>
          </w:r>
          <w:r>
            <w:fldChar w:fldCharType="end"/>
          </w:r>
        </w:p>
        <w:p>
          <w:pPr>
            <w:pStyle w:val="18"/>
            <w:tabs>
              <w:tab w:val="right" w:leader="dot" w:pos="9736"/>
            </w:tabs>
            <w:rPr>
              <w:rFonts w:asciiTheme="minorHAnsi" w:hAnsiTheme="minorHAnsi" w:eastAsiaTheme="minorEastAsia" w:cstheme="minorBidi"/>
              <w:snapToGrid/>
              <w:kern w:val="2"/>
              <w:szCs w:val="22"/>
              <w14:ligatures w14:val="standardContextual"/>
            </w:rPr>
          </w:pPr>
          <w:r>
            <w:fldChar w:fldCharType="begin"/>
          </w:r>
          <w:r>
            <w:instrText xml:space="preserve"> HYPERLINK \l "_Toc139977560" </w:instrText>
          </w:r>
          <w:r>
            <w:fldChar w:fldCharType="separate"/>
          </w:r>
          <w:r>
            <w:rPr>
              <w:rStyle w:val="27"/>
            </w:rPr>
            <w:t>二 系统总体设计原则</w:t>
          </w:r>
          <w:r>
            <w:tab/>
          </w:r>
          <w:r>
            <w:fldChar w:fldCharType="begin"/>
          </w:r>
          <w:r>
            <w:instrText xml:space="preserve"> PAGEREF _Toc139977560 \h </w:instrText>
          </w:r>
          <w:r>
            <w:fldChar w:fldCharType="separate"/>
          </w:r>
          <w:r>
            <w:t>7</w:t>
          </w:r>
          <w:r>
            <w:fldChar w:fldCharType="end"/>
          </w:r>
          <w:r>
            <w:fldChar w:fldCharType="end"/>
          </w:r>
        </w:p>
        <w:p>
          <w:pPr>
            <w:pStyle w:val="21"/>
            <w:tabs>
              <w:tab w:val="right" w:leader="dot" w:pos="9736"/>
            </w:tabs>
            <w:ind w:left="420"/>
            <w:rPr>
              <w:rFonts w:asciiTheme="minorHAnsi" w:hAnsiTheme="minorHAnsi" w:eastAsiaTheme="minorEastAsia" w:cstheme="minorBidi"/>
              <w:snapToGrid/>
              <w:kern w:val="2"/>
              <w:szCs w:val="22"/>
              <w14:ligatures w14:val="standardContextual"/>
            </w:rPr>
          </w:pPr>
          <w:r>
            <w:fldChar w:fldCharType="begin"/>
          </w:r>
          <w:r>
            <w:instrText xml:space="preserve"> HYPERLINK \l "_Toc139977561" </w:instrText>
          </w:r>
          <w:r>
            <w:fldChar w:fldCharType="separate"/>
          </w:r>
          <w:r>
            <w:rPr>
              <w:rStyle w:val="27"/>
            </w:rPr>
            <w:t>2.1  生命周期低投资成本原则</w:t>
          </w:r>
          <w:r>
            <w:tab/>
          </w:r>
          <w:r>
            <w:fldChar w:fldCharType="begin"/>
          </w:r>
          <w:r>
            <w:instrText xml:space="preserve"> PAGEREF _Toc139977561 \h </w:instrText>
          </w:r>
          <w:r>
            <w:fldChar w:fldCharType="separate"/>
          </w:r>
          <w:r>
            <w:t>7</w:t>
          </w:r>
          <w:r>
            <w:fldChar w:fldCharType="end"/>
          </w:r>
          <w:r>
            <w:fldChar w:fldCharType="end"/>
          </w:r>
        </w:p>
        <w:p>
          <w:pPr>
            <w:pStyle w:val="21"/>
            <w:tabs>
              <w:tab w:val="right" w:leader="dot" w:pos="9736"/>
            </w:tabs>
            <w:ind w:left="420"/>
            <w:rPr>
              <w:rFonts w:asciiTheme="minorHAnsi" w:hAnsiTheme="minorHAnsi" w:eastAsiaTheme="minorEastAsia" w:cstheme="minorBidi"/>
              <w:snapToGrid/>
              <w:kern w:val="2"/>
              <w:szCs w:val="22"/>
              <w14:ligatures w14:val="standardContextual"/>
            </w:rPr>
          </w:pPr>
          <w:r>
            <w:fldChar w:fldCharType="begin"/>
          </w:r>
          <w:r>
            <w:instrText xml:space="preserve"> HYPERLINK \l "_Toc139977562" </w:instrText>
          </w:r>
          <w:r>
            <w:fldChar w:fldCharType="separate"/>
          </w:r>
          <w:r>
            <w:rPr>
              <w:rStyle w:val="27"/>
            </w:rPr>
            <w:t>2.2  持续先进性原则</w:t>
          </w:r>
          <w:r>
            <w:tab/>
          </w:r>
          <w:r>
            <w:fldChar w:fldCharType="begin"/>
          </w:r>
          <w:r>
            <w:instrText xml:space="preserve"> PAGEREF _Toc139977562 \h </w:instrText>
          </w:r>
          <w:r>
            <w:fldChar w:fldCharType="separate"/>
          </w:r>
          <w:r>
            <w:t>7</w:t>
          </w:r>
          <w:r>
            <w:fldChar w:fldCharType="end"/>
          </w:r>
          <w:r>
            <w:fldChar w:fldCharType="end"/>
          </w:r>
        </w:p>
        <w:p>
          <w:pPr>
            <w:pStyle w:val="21"/>
            <w:tabs>
              <w:tab w:val="right" w:leader="dot" w:pos="9736"/>
            </w:tabs>
            <w:ind w:left="420"/>
            <w:rPr>
              <w:rFonts w:asciiTheme="minorHAnsi" w:hAnsiTheme="minorHAnsi" w:eastAsiaTheme="minorEastAsia" w:cstheme="minorBidi"/>
              <w:snapToGrid/>
              <w:kern w:val="2"/>
              <w:szCs w:val="22"/>
              <w14:ligatures w14:val="standardContextual"/>
            </w:rPr>
          </w:pPr>
          <w:r>
            <w:fldChar w:fldCharType="begin"/>
          </w:r>
          <w:r>
            <w:instrText xml:space="preserve"> HYPERLINK \l "_Toc139977563" </w:instrText>
          </w:r>
          <w:r>
            <w:fldChar w:fldCharType="separate"/>
          </w:r>
          <w:r>
            <w:rPr>
              <w:rStyle w:val="27"/>
            </w:rPr>
            <w:t>2.3 可靠性原则</w:t>
          </w:r>
          <w:r>
            <w:tab/>
          </w:r>
          <w:r>
            <w:fldChar w:fldCharType="begin"/>
          </w:r>
          <w:r>
            <w:instrText xml:space="preserve"> PAGEREF _Toc139977563 \h </w:instrText>
          </w:r>
          <w:r>
            <w:fldChar w:fldCharType="separate"/>
          </w:r>
          <w:r>
            <w:t>7</w:t>
          </w:r>
          <w:r>
            <w:fldChar w:fldCharType="end"/>
          </w:r>
          <w:r>
            <w:fldChar w:fldCharType="end"/>
          </w:r>
        </w:p>
        <w:p>
          <w:pPr>
            <w:pStyle w:val="21"/>
            <w:tabs>
              <w:tab w:val="right" w:leader="dot" w:pos="9736"/>
            </w:tabs>
            <w:ind w:left="420"/>
            <w:rPr>
              <w:rFonts w:asciiTheme="minorHAnsi" w:hAnsiTheme="minorHAnsi" w:eastAsiaTheme="minorEastAsia" w:cstheme="minorBidi"/>
              <w:snapToGrid/>
              <w:kern w:val="2"/>
              <w:szCs w:val="22"/>
              <w14:ligatures w14:val="standardContextual"/>
            </w:rPr>
          </w:pPr>
          <w:r>
            <w:fldChar w:fldCharType="begin"/>
          </w:r>
          <w:r>
            <w:instrText xml:space="preserve"> HYPERLINK \l "_Toc139977564" </w:instrText>
          </w:r>
          <w:r>
            <w:fldChar w:fldCharType="separate"/>
          </w:r>
          <w:r>
            <w:rPr>
              <w:rStyle w:val="27"/>
            </w:rPr>
            <w:t>2.4 标准化和兼容性原则</w:t>
          </w:r>
          <w:r>
            <w:tab/>
          </w:r>
          <w:r>
            <w:fldChar w:fldCharType="begin"/>
          </w:r>
          <w:r>
            <w:instrText xml:space="preserve"> PAGEREF _Toc139977564 \h </w:instrText>
          </w:r>
          <w:r>
            <w:fldChar w:fldCharType="separate"/>
          </w:r>
          <w:r>
            <w:t>7</w:t>
          </w:r>
          <w:r>
            <w:fldChar w:fldCharType="end"/>
          </w:r>
          <w:r>
            <w:fldChar w:fldCharType="end"/>
          </w:r>
        </w:p>
        <w:p>
          <w:pPr>
            <w:ind w:firstLine="0" w:firstLineChars="0"/>
          </w:pPr>
          <w:r>
            <w:rPr>
              <w:b/>
              <w:bCs/>
              <w:lang w:val="zh-CN"/>
            </w:rPr>
            <w:fldChar w:fldCharType="end"/>
          </w:r>
        </w:p>
      </w:sdtContent>
    </w:sdt>
    <w:p>
      <w:pPr>
        <w:pStyle w:val="2"/>
        <w:ind w:firstLine="199" w:firstLineChars="95"/>
      </w:pPr>
    </w:p>
    <w:p>
      <w:pPr>
        <w:bidi w:val="0"/>
      </w:pPr>
    </w:p>
    <w:p>
      <w:pPr>
        <w:bidi w:val="0"/>
      </w:pPr>
    </w:p>
    <w:p>
      <w:pPr>
        <w:bidi w:val="0"/>
      </w:pPr>
    </w:p>
    <w:p>
      <w:pPr>
        <w:bidi w:val="0"/>
      </w:pPr>
    </w:p>
    <w:p>
      <w:pPr>
        <w:bidi w:val="0"/>
      </w:pPr>
    </w:p>
    <w:p>
      <w:pPr>
        <w:bidi w:val="0"/>
        <w:jc w:val="left"/>
        <w:rPr>
          <w:rFonts w:hint="eastAsia" w:eastAsia="宋体"/>
          <w:lang w:eastAsia="zh-CN"/>
        </w:rPr>
        <w:sectPr>
          <w:headerReference r:id="rId7" w:type="first"/>
          <w:footerReference r:id="rId10" w:type="first"/>
          <w:headerReference r:id="rId5" w:type="default"/>
          <w:footerReference r:id="rId8" w:type="default"/>
          <w:headerReference r:id="rId6" w:type="even"/>
          <w:footerReference r:id="rId9" w:type="even"/>
          <w:pgSz w:w="11906" w:h="16838"/>
          <w:pgMar w:top="1440" w:right="1080" w:bottom="1440" w:left="1080" w:header="1091" w:footer="992" w:gutter="0"/>
          <w:cols w:space="425" w:num="1"/>
          <w:docGrid w:type="lines" w:linePitch="312" w:charSpace="0"/>
        </w:sectPr>
      </w:pPr>
      <w:r>
        <w:rPr>
          <w:rFonts w:hint="eastAsia"/>
          <w:lang w:eastAsia="zh-CN"/>
        </w:rPr>
        <w:tab/>
      </w:r>
    </w:p>
    <w:p>
      <w:pPr>
        <w:ind w:firstLine="653"/>
      </w:pPr>
      <w:r>
        <w:rPr>
          <w:rFonts w:ascii="黑体" w:eastAsia="黑体"/>
          <w:b/>
          <w:sz w:val="32"/>
          <w:szCs w:val="32"/>
        </w:rPr>
        <w:tab/>
      </w:r>
    </w:p>
    <w:p>
      <w:pPr>
        <w:pStyle w:val="3"/>
        <w:numPr>
          <w:ilvl w:val="0"/>
          <w:numId w:val="0"/>
        </w:numPr>
      </w:pPr>
      <w:bookmarkStart w:id="0" w:name="_Toc139977556"/>
      <w:bookmarkStart w:id="1" w:name="_Toc23906"/>
      <w:r>
        <w:rPr>
          <w:rFonts w:hint="eastAsia"/>
        </w:rPr>
        <w:t>一 项目概述</w:t>
      </w:r>
      <w:bookmarkEnd w:id="0"/>
      <w:bookmarkEnd w:id="1"/>
    </w:p>
    <w:p>
      <w:pPr>
        <w:pStyle w:val="5"/>
        <w:numPr>
          <w:ilvl w:val="1"/>
          <w:numId w:val="0"/>
        </w:numPr>
      </w:pPr>
      <w:bookmarkStart w:id="2" w:name="_Toc3217508"/>
      <w:bookmarkStart w:id="3" w:name="_Toc28528"/>
      <w:bookmarkStart w:id="4" w:name="_Toc139977557"/>
      <w:r>
        <w:rPr>
          <w:rFonts w:hint="eastAsia"/>
        </w:rPr>
        <w:t>1.</w:t>
      </w:r>
      <w:r>
        <w:t>1</w:t>
      </w:r>
      <w:r>
        <w:rPr>
          <w:rFonts w:hint="eastAsia"/>
        </w:rPr>
        <w:t xml:space="preserve"> 项目建设背景</w:t>
      </w:r>
      <w:bookmarkEnd w:id="2"/>
      <w:bookmarkEnd w:id="3"/>
      <w:bookmarkEnd w:id="4"/>
    </w:p>
    <w:p>
      <w:pPr>
        <w:pStyle w:val="22"/>
        <w:ind w:firstLine="480"/>
        <w:rPr>
          <w:rFonts w:ascii="宋体" w:hAnsi="宋体" w:cs="宋体"/>
          <w:szCs w:val="24"/>
        </w:rPr>
      </w:pPr>
      <w:r>
        <w:rPr>
          <w:rFonts w:hint="eastAsia" w:ascii="宋体" w:hAnsi="宋体" w:cs="宋体"/>
          <w:sz w:val="24"/>
          <w:szCs w:val="24"/>
        </w:rPr>
        <w:t>四川省住房和城乡建设厅于2015年启动视频会议系统建设，已建成从省厅到全省21个市(州)的视频会议系统，2021年8月，省住房城乡建设厅对全省住房城乡建设电子政务外网视频会议系统进行了升级改造，并将视频会议系统接入点延伸至县（市、区）级。</w:t>
      </w:r>
      <w:r>
        <w:rPr>
          <w:rFonts w:hint="eastAsia" w:ascii="宋体" w:hAnsi="宋体" w:cs="宋体"/>
          <w:szCs w:val="24"/>
        </w:rPr>
        <w:t>为保障全省住房城乡建设电子政务网外视频会议系统高标准建设、高质量运行，实现部、省、市(州)、县(市、区)四级住房城乡建设电子政务外网视频会议系统上下联动、互联互通</w:t>
      </w:r>
      <w:r>
        <w:rPr>
          <w:rFonts w:hint="eastAsia" w:ascii="宋体" w:hAnsi="宋体" w:cs="宋体"/>
          <w:szCs w:val="24"/>
          <w:lang w:eastAsia="zh-CN"/>
        </w:rPr>
        <w:t>，现</w:t>
      </w:r>
      <w:r>
        <w:rPr>
          <w:rFonts w:hint="eastAsia" w:ascii="宋体" w:hAnsi="宋体" w:cs="宋体"/>
          <w:szCs w:val="24"/>
        </w:rPr>
        <w:t>需建设达州市住房和城乡建设局电子政务外网视频会议系统。</w:t>
      </w:r>
    </w:p>
    <w:p>
      <w:pPr>
        <w:pStyle w:val="5"/>
        <w:numPr>
          <w:ilvl w:val="1"/>
          <w:numId w:val="0"/>
        </w:numPr>
      </w:pPr>
      <w:bookmarkStart w:id="5" w:name="_Toc7845"/>
      <w:bookmarkStart w:id="6" w:name="_Toc139977558"/>
      <w:r>
        <w:t>1.</w:t>
      </w:r>
      <w:r>
        <w:rPr>
          <w:rFonts w:hint="eastAsia"/>
        </w:rPr>
        <w:t>2 项目建设目标</w:t>
      </w:r>
      <w:bookmarkEnd w:id="5"/>
      <w:bookmarkEnd w:id="6"/>
    </w:p>
    <w:p>
      <w:pPr>
        <w:ind w:firstLine="480"/>
        <w:rPr>
          <w:rFonts w:ascii="宋体" w:hAnsi="宋体" w:cs="宋体"/>
          <w:sz w:val="24"/>
          <w:szCs w:val="24"/>
        </w:rPr>
      </w:pPr>
      <w:r>
        <w:rPr>
          <w:rFonts w:hint="eastAsia" w:ascii="宋体" w:hAnsi="宋体" w:cs="宋体"/>
          <w:color w:val="auto"/>
          <w:sz w:val="24"/>
          <w:szCs w:val="24"/>
        </w:rPr>
        <w:t>本次</w:t>
      </w:r>
      <w:r>
        <w:rPr>
          <w:rFonts w:hint="eastAsia" w:ascii="宋体" w:hAnsi="宋体" w:cs="宋体"/>
          <w:color w:val="auto"/>
          <w:sz w:val="24"/>
          <w:szCs w:val="24"/>
          <w:lang w:eastAsia="zh-CN"/>
        </w:rPr>
        <w:t>达州市</w:t>
      </w:r>
      <w:r>
        <w:rPr>
          <w:rFonts w:hint="eastAsia" w:ascii="宋体" w:hAnsi="宋体" w:cs="宋体"/>
          <w:color w:val="auto"/>
          <w:sz w:val="24"/>
          <w:szCs w:val="24"/>
        </w:rPr>
        <w:t>住建局</w:t>
      </w:r>
      <w:r>
        <w:rPr>
          <w:rFonts w:hint="eastAsia" w:ascii="宋体" w:hAnsi="宋体" w:cs="宋体"/>
          <w:sz w:val="24"/>
          <w:szCs w:val="24"/>
        </w:rPr>
        <w:t>拟建设市州到区县的视频会议系统，预计建设</w:t>
      </w:r>
      <w:r>
        <w:rPr>
          <w:rFonts w:hint="eastAsia" w:ascii="宋体" w:hAnsi="宋体" w:cs="宋体"/>
          <w:sz w:val="24"/>
          <w:szCs w:val="24"/>
          <w:highlight w:val="none"/>
          <w:shd w:val="clear" w:color="auto" w:fill="auto"/>
          <w:lang w:val="en-US" w:eastAsia="zh-CN"/>
        </w:rPr>
        <w:t>1</w:t>
      </w:r>
      <w:r>
        <w:rPr>
          <w:rFonts w:hint="eastAsia" w:ascii="宋体" w:hAnsi="宋体" w:cs="宋体"/>
          <w:sz w:val="24"/>
          <w:szCs w:val="24"/>
        </w:rPr>
        <w:t>个</w:t>
      </w:r>
      <w:r>
        <w:rPr>
          <w:rFonts w:hint="eastAsia" w:ascii="宋体" w:hAnsi="宋体" w:cs="宋体"/>
          <w:sz w:val="24"/>
          <w:szCs w:val="24"/>
          <w:lang w:eastAsia="zh-CN"/>
        </w:rPr>
        <w:t>市级</w:t>
      </w:r>
      <w:r>
        <w:rPr>
          <w:rFonts w:hint="eastAsia" w:ascii="宋体" w:hAnsi="宋体" w:cs="宋体"/>
          <w:sz w:val="24"/>
          <w:szCs w:val="24"/>
        </w:rPr>
        <w:t>会场，市州到区县的视频会议系统建设完成后，可以实现市州到区县自主召开会议。</w:t>
      </w:r>
    </w:p>
    <w:p>
      <w:pPr>
        <w:ind w:firstLine="480"/>
        <w:rPr>
          <w:rFonts w:hint="eastAsia" w:ascii="宋体" w:hAnsi="宋体" w:cs="宋体"/>
          <w:sz w:val="24"/>
          <w:szCs w:val="24"/>
        </w:rPr>
      </w:pPr>
      <w:r>
        <w:rPr>
          <w:rFonts w:hint="eastAsia" w:ascii="宋体" w:hAnsi="宋体" w:cs="宋体"/>
          <w:sz w:val="24"/>
          <w:szCs w:val="24"/>
        </w:rPr>
        <w:t>为进一步提高工作与管理效率，使管理规定及政策要求及时有效的传达到各下级单位，加强住建工作管理及业务管理模式的进一步创新和改进，实现多方工作协同、远程工作汇报、远程监管、紧急突发事件处理等工作。</w:t>
      </w:r>
    </w:p>
    <w:p>
      <w:pPr>
        <w:ind w:firstLine="480"/>
        <w:rPr>
          <w:rFonts w:ascii="宋体" w:hAnsi="宋体" w:cs="宋体"/>
          <w:sz w:val="24"/>
          <w:szCs w:val="24"/>
        </w:rPr>
      </w:pPr>
      <w:r>
        <w:rPr>
          <w:rFonts w:hint="eastAsia" w:ascii="宋体" w:hAnsi="宋体" w:cs="宋体"/>
          <w:sz w:val="24"/>
          <w:szCs w:val="24"/>
        </w:rPr>
        <w:t>系统建设完成后具备下列重要技术特性：</w:t>
      </w:r>
    </w:p>
    <w:p>
      <w:pPr>
        <w:ind w:firstLine="480"/>
        <w:rPr>
          <w:rFonts w:ascii="宋体" w:hAnsi="宋体" w:cs="宋体"/>
          <w:sz w:val="24"/>
          <w:szCs w:val="24"/>
        </w:rPr>
      </w:pPr>
      <w:r>
        <w:rPr>
          <w:rFonts w:hint="eastAsia" w:ascii="宋体" w:hAnsi="宋体" w:cs="宋体"/>
          <w:sz w:val="24"/>
          <w:szCs w:val="24"/>
        </w:rPr>
        <w:t>（1）实现与住建部、四川省住建厅的双向远程视频会议。</w:t>
      </w:r>
    </w:p>
    <w:p>
      <w:pPr>
        <w:ind w:firstLine="480"/>
        <w:rPr>
          <w:rFonts w:ascii="宋体" w:hAnsi="宋体" w:cs="宋体"/>
          <w:sz w:val="24"/>
          <w:szCs w:val="24"/>
        </w:rPr>
      </w:pPr>
      <w:r>
        <w:rPr>
          <w:rFonts w:hint="eastAsia" w:ascii="宋体" w:hAnsi="宋体" w:cs="宋体"/>
          <w:sz w:val="24"/>
          <w:szCs w:val="24"/>
        </w:rPr>
        <w:t>（2）实现与省厅视频会议系统的统一注册、统一管理、统一调度，确保部、省、市、县(市、区)四级视频会议系统的整体联动，融合贯通。</w:t>
      </w:r>
    </w:p>
    <w:p>
      <w:pPr>
        <w:ind w:firstLine="480"/>
        <w:rPr>
          <w:rFonts w:ascii="宋体" w:hAnsi="宋体" w:cs="宋体"/>
          <w:sz w:val="24"/>
          <w:szCs w:val="24"/>
        </w:rPr>
      </w:pPr>
      <w:r>
        <w:rPr>
          <w:rFonts w:hint="eastAsia" w:ascii="宋体" w:hAnsi="宋体" w:cs="宋体"/>
          <w:sz w:val="24"/>
          <w:szCs w:val="24"/>
        </w:rPr>
        <w:t>（3）支持接收省级平台下发配置参数（会议类型、媒 体配置、参会用户列表等）及会议日程。</w:t>
      </w:r>
    </w:p>
    <w:p>
      <w:pPr>
        <w:ind w:firstLine="480"/>
        <w:rPr>
          <w:rFonts w:ascii="宋体" w:hAnsi="宋体" w:cs="宋体"/>
          <w:sz w:val="24"/>
          <w:szCs w:val="24"/>
        </w:rPr>
      </w:pPr>
      <w:r>
        <w:rPr>
          <w:rFonts w:hint="eastAsia" w:ascii="宋体" w:hAnsi="宋体" w:cs="宋体"/>
          <w:sz w:val="24"/>
          <w:szCs w:val="24"/>
        </w:rPr>
        <w:t>（4）系统建成后，确保各会场之间能实现交互式的高清画面，图像流畅，不出现画面抖动、马赛克现象，图像和声音始终保证唇音同步；视频达到1080P/60帧每秒。并应支持领先的音频编码标准，可以使音频达到高保真音准，还原性更佳。</w:t>
      </w:r>
    </w:p>
    <w:p>
      <w:pPr>
        <w:ind w:firstLine="480"/>
        <w:rPr>
          <w:rFonts w:ascii="宋体" w:hAnsi="宋体" w:cs="宋体"/>
          <w:sz w:val="24"/>
          <w:szCs w:val="24"/>
        </w:rPr>
      </w:pPr>
      <w:r>
        <w:rPr>
          <w:rFonts w:hint="eastAsia" w:ascii="宋体" w:hAnsi="宋体" w:cs="宋体"/>
          <w:sz w:val="24"/>
          <w:szCs w:val="24"/>
        </w:rPr>
        <w:t>（5）支持切换分屏模式：提供单画面、多画面等多种适用分屏模式，切换不影响会议召开，本端主流、远端主流和演示画面可据用户需要单独或同时显示在同一显示屏上。</w:t>
      </w:r>
    </w:p>
    <w:p>
      <w:pPr>
        <w:ind w:firstLine="480"/>
        <w:rPr>
          <w:rFonts w:ascii="宋体" w:hAnsi="宋体" w:cs="宋体"/>
          <w:sz w:val="24"/>
          <w:szCs w:val="24"/>
        </w:rPr>
      </w:pPr>
      <w:r>
        <w:rPr>
          <w:rFonts w:hint="eastAsia" w:ascii="宋体" w:hAnsi="宋体" w:cs="宋体"/>
          <w:sz w:val="24"/>
          <w:szCs w:val="24"/>
        </w:rPr>
        <w:t>（6）具备统一界面，集中管理视频系统设备。</w:t>
      </w:r>
    </w:p>
    <w:p>
      <w:pPr>
        <w:ind w:firstLine="480"/>
        <w:rPr>
          <w:rFonts w:ascii="宋体" w:hAnsi="宋体" w:cs="宋体"/>
          <w:sz w:val="24"/>
          <w:szCs w:val="24"/>
        </w:rPr>
      </w:pPr>
      <w:r>
        <w:rPr>
          <w:rFonts w:hint="eastAsia" w:ascii="宋体" w:hAnsi="宋体" w:cs="宋体"/>
          <w:sz w:val="24"/>
          <w:szCs w:val="24"/>
        </w:rPr>
        <w:t>（7）在系统功能方面，系统可以完成辅流图像的同时传送，满足ITU-T标准的H.239双路视频传送要求。</w:t>
      </w:r>
    </w:p>
    <w:p>
      <w:pPr>
        <w:pStyle w:val="5"/>
        <w:numPr>
          <w:ilvl w:val="1"/>
          <w:numId w:val="0"/>
        </w:numPr>
      </w:pPr>
      <w:bookmarkStart w:id="7" w:name="_Toc18707"/>
      <w:bookmarkStart w:id="8" w:name="_Toc1185"/>
      <w:bookmarkStart w:id="9" w:name="_Toc7075"/>
      <w:bookmarkStart w:id="10" w:name="_Toc3217510"/>
      <w:bookmarkStart w:id="11" w:name="_Toc4971"/>
      <w:bookmarkStart w:id="12" w:name="_Toc1467723323"/>
      <w:bookmarkStart w:id="13" w:name="_Toc139977559"/>
      <w:bookmarkStart w:id="14" w:name="_Toc30810"/>
      <w:bookmarkStart w:id="15" w:name="_Toc25007"/>
      <w:r>
        <w:t>1.</w:t>
      </w:r>
      <w:r>
        <w:rPr>
          <w:rFonts w:hint="eastAsia"/>
        </w:rPr>
        <w:t>3 项目建设规模</w:t>
      </w:r>
      <w:bookmarkEnd w:id="7"/>
      <w:bookmarkEnd w:id="8"/>
      <w:bookmarkEnd w:id="9"/>
      <w:bookmarkEnd w:id="10"/>
      <w:bookmarkEnd w:id="11"/>
      <w:bookmarkEnd w:id="12"/>
      <w:bookmarkEnd w:id="13"/>
      <w:bookmarkEnd w:id="14"/>
      <w:bookmarkEnd w:id="15"/>
    </w:p>
    <w:p>
      <w:pPr>
        <w:ind w:firstLine="480"/>
        <w:rPr>
          <w:rFonts w:ascii="宋体" w:hAnsi="宋体" w:cs="宋体"/>
          <w:sz w:val="24"/>
          <w:szCs w:val="24"/>
        </w:rPr>
      </w:pPr>
      <w:r>
        <w:rPr>
          <w:rFonts w:hint="eastAsia" w:ascii="宋体" w:hAnsi="宋体" w:cs="宋体"/>
          <w:sz w:val="24"/>
          <w:szCs w:val="24"/>
        </w:rPr>
        <w:t>为加快实现四川省、市、县视频会议系统一体化，本项目计划在</w:t>
      </w:r>
      <w:r>
        <w:rPr>
          <w:rFonts w:hint="eastAsia" w:ascii="宋体" w:hAnsi="宋体" w:cs="宋体"/>
          <w:color w:val="auto"/>
          <w:sz w:val="24"/>
          <w:szCs w:val="24"/>
          <w:lang w:eastAsia="zh-CN"/>
        </w:rPr>
        <w:t>达州市</w:t>
      </w:r>
      <w:r>
        <w:rPr>
          <w:rFonts w:hint="eastAsia" w:ascii="宋体" w:hAnsi="宋体" w:cs="宋体"/>
          <w:color w:val="auto"/>
          <w:sz w:val="24"/>
          <w:szCs w:val="24"/>
        </w:rPr>
        <w:t>住建局</w:t>
      </w:r>
      <w:r>
        <w:rPr>
          <w:rFonts w:hint="eastAsia" w:ascii="宋体" w:hAnsi="宋体" w:cs="宋体"/>
          <w:sz w:val="24"/>
          <w:szCs w:val="24"/>
        </w:rPr>
        <w:t>建设一套远程视频会议系统，本系统依托于电子政务外网进行建设，各接入点通过电子政务外网和远程视频会议终端设备接入到四川省住房和城乡建设厅现用视频会议系统中，实现省、市、县三级远程视频会议功能。</w:t>
      </w:r>
    </w:p>
    <w:p>
      <w:pPr>
        <w:ind w:firstLine="480"/>
        <w:rPr>
          <w:rFonts w:ascii="宋体" w:hAnsi="宋体" w:cs="宋体"/>
          <w:sz w:val="24"/>
          <w:szCs w:val="24"/>
        </w:rPr>
      </w:pPr>
      <w:r>
        <w:rPr>
          <w:rFonts w:hint="eastAsia" w:ascii="宋体" w:hAnsi="宋体" w:cs="宋体"/>
          <w:sz w:val="24"/>
          <w:szCs w:val="24"/>
        </w:rPr>
        <w:t>本次计划在</w:t>
      </w:r>
      <w:r>
        <w:rPr>
          <w:rFonts w:hint="eastAsia" w:ascii="宋体" w:hAnsi="宋体" w:cs="宋体"/>
          <w:color w:val="auto"/>
          <w:sz w:val="24"/>
          <w:szCs w:val="24"/>
          <w:u w:val="none"/>
          <w:lang w:eastAsia="zh-CN"/>
        </w:rPr>
        <w:t>达州市</w:t>
      </w:r>
      <w:r>
        <w:rPr>
          <w:rFonts w:hint="eastAsia" w:ascii="宋体" w:hAnsi="宋体" w:cs="宋体"/>
          <w:color w:val="auto"/>
          <w:sz w:val="24"/>
          <w:szCs w:val="24"/>
          <w:u w:val="none"/>
        </w:rPr>
        <w:t>住建局部署1套MCU平台</w:t>
      </w:r>
      <w:r>
        <w:rPr>
          <w:rFonts w:hint="eastAsia" w:ascii="宋体" w:hAnsi="宋体" w:cs="宋体"/>
          <w:sz w:val="24"/>
          <w:szCs w:val="24"/>
        </w:rPr>
        <w:t>，用于各县（市、区）分会场音视频数据的处理和转发，实现跟四川省住房和城乡建设厅现用视频会议系统互联互通的目的；同时在</w:t>
      </w:r>
      <w:r>
        <w:rPr>
          <w:rFonts w:hint="eastAsia" w:ascii="宋体" w:hAnsi="宋体" w:cs="宋体"/>
          <w:color w:val="auto"/>
          <w:sz w:val="24"/>
          <w:szCs w:val="24"/>
          <w:u w:val="none"/>
          <w:lang w:eastAsia="zh-CN"/>
        </w:rPr>
        <w:t>达州市</w:t>
      </w:r>
      <w:r>
        <w:rPr>
          <w:rFonts w:hint="eastAsia" w:ascii="宋体" w:hAnsi="宋体" w:cs="宋体"/>
          <w:color w:val="auto"/>
          <w:sz w:val="24"/>
          <w:szCs w:val="24"/>
          <w:u w:val="none"/>
        </w:rPr>
        <w:t>住建局建设1台高清录播服务器</w:t>
      </w:r>
      <w:r>
        <w:rPr>
          <w:rFonts w:hint="eastAsia" w:ascii="宋体" w:hAnsi="宋体" w:cs="宋体"/>
          <w:color w:val="FF0000"/>
          <w:sz w:val="24"/>
          <w:szCs w:val="24"/>
        </w:rPr>
        <w:t>，</w:t>
      </w:r>
      <w:r>
        <w:rPr>
          <w:rFonts w:hint="eastAsia" w:ascii="宋体" w:hAnsi="宋体" w:cs="宋体"/>
          <w:sz w:val="24"/>
          <w:szCs w:val="24"/>
        </w:rPr>
        <w:t>用于录制本级与下辖区域召开的远程视频会议；市局视频会议室具体建设清单如下：</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787"/>
        <w:gridCol w:w="437"/>
        <w:gridCol w:w="413"/>
        <w:gridCol w:w="5108"/>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39" w:type="dxa"/>
            <w:shd w:val="clear" w:color="auto" w:fill="auto"/>
            <w:vAlign w:val="center"/>
          </w:tcPr>
          <w:p>
            <w:pPr>
              <w:pStyle w:val="29"/>
              <w:spacing w:line="240" w:lineRule="auto"/>
              <w:jc w:val="center"/>
            </w:pPr>
            <w:r>
              <w:rPr>
                <w:rFonts w:hint="eastAsia"/>
              </w:rPr>
              <w:t>设备分类</w:t>
            </w:r>
          </w:p>
        </w:tc>
        <w:tc>
          <w:tcPr>
            <w:tcW w:w="787" w:type="dxa"/>
            <w:shd w:val="clear" w:color="auto" w:fill="auto"/>
            <w:vAlign w:val="center"/>
          </w:tcPr>
          <w:p>
            <w:pPr>
              <w:pStyle w:val="29"/>
              <w:spacing w:line="240" w:lineRule="auto"/>
              <w:jc w:val="center"/>
            </w:pPr>
            <w:r>
              <w:rPr>
                <w:rFonts w:hint="eastAsia"/>
              </w:rPr>
              <w:t>名称</w:t>
            </w:r>
          </w:p>
        </w:tc>
        <w:tc>
          <w:tcPr>
            <w:tcW w:w="437" w:type="dxa"/>
            <w:shd w:val="clear" w:color="auto" w:fill="auto"/>
            <w:vAlign w:val="center"/>
          </w:tcPr>
          <w:p>
            <w:pPr>
              <w:pStyle w:val="29"/>
              <w:spacing w:line="240" w:lineRule="auto"/>
              <w:jc w:val="center"/>
            </w:pPr>
            <w:r>
              <w:rPr>
                <w:rFonts w:hint="eastAsia"/>
              </w:rPr>
              <w:t>数量</w:t>
            </w:r>
          </w:p>
        </w:tc>
        <w:tc>
          <w:tcPr>
            <w:tcW w:w="413" w:type="dxa"/>
            <w:shd w:val="clear" w:color="auto" w:fill="auto"/>
            <w:vAlign w:val="center"/>
          </w:tcPr>
          <w:p>
            <w:pPr>
              <w:pStyle w:val="29"/>
              <w:spacing w:line="240" w:lineRule="auto"/>
              <w:jc w:val="center"/>
            </w:pPr>
            <w:r>
              <w:rPr>
                <w:rFonts w:hint="eastAsia"/>
              </w:rPr>
              <w:t>单位</w:t>
            </w:r>
          </w:p>
        </w:tc>
        <w:tc>
          <w:tcPr>
            <w:tcW w:w="5108" w:type="dxa"/>
            <w:shd w:val="clear" w:color="auto" w:fill="auto"/>
            <w:vAlign w:val="center"/>
          </w:tcPr>
          <w:p>
            <w:pPr>
              <w:pStyle w:val="29"/>
              <w:spacing w:line="240" w:lineRule="auto"/>
              <w:jc w:val="center"/>
            </w:pPr>
            <w:r>
              <w:rPr>
                <w:rFonts w:hint="eastAsia"/>
              </w:rPr>
              <w:t>说明</w:t>
            </w:r>
          </w:p>
        </w:tc>
        <w:tc>
          <w:tcPr>
            <w:tcW w:w="1596" w:type="dxa"/>
            <w:shd w:val="clear" w:color="auto" w:fill="auto"/>
            <w:vAlign w:val="center"/>
          </w:tcPr>
          <w:p>
            <w:pPr>
              <w:pStyle w:val="29"/>
              <w:spacing w:line="240" w:lineRule="auto"/>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9" w:type="dxa"/>
            <w:vAlign w:val="center"/>
          </w:tcPr>
          <w:p>
            <w:pPr>
              <w:pStyle w:val="29"/>
              <w:spacing w:line="240" w:lineRule="auto"/>
              <w:jc w:val="center"/>
            </w:pPr>
            <w:r>
              <w:rPr>
                <w:rFonts w:hint="eastAsia"/>
              </w:rPr>
              <w:t>MCU</w:t>
            </w:r>
          </w:p>
        </w:tc>
        <w:tc>
          <w:tcPr>
            <w:tcW w:w="787" w:type="dxa"/>
            <w:vAlign w:val="center"/>
          </w:tcPr>
          <w:p>
            <w:pPr>
              <w:pStyle w:val="29"/>
              <w:spacing w:line="240" w:lineRule="auto"/>
              <w:jc w:val="center"/>
            </w:pPr>
            <w:r>
              <w:rPr>
                <w:rFonts w:hint="eastAsia"/>
              </w:rPr>
              <w:t>云媒体协作处理平台</w:t>
            </w:r>
          </w:p>
        </w:tc>
        <w:tc>
          <w:tcPr>
            <w:tcW w:w="437" w:type="dxa"/>
            <w:vAlign w:val="center"/>
          </w:tcPr>
          <w:p>
            <w:pPr>
              <w:pStyle w:val="29"/>
              <w:spacing w:line="240" w:lineRule="auto"/>
              <w:jc w:val="center"/>
            </w:pPr>
            <w:r>
              <w:rPr>
                <w:rFonts w:hint="eastAsia"/>
              </w:rPr>
              <w:t>1</w:t>
            </w:r>
          </w:p>
        </w:tc>
        <w:tc>
          <w:tcPr>
            <w:tcW w:w="413" w:type="dxa"/>
            <w:vAlign w:val="center"/>
          </w:tcPr>
          <w:p>
            <w:pPr>
              <w:pStyle w:val="29"/>
              <w:spacing w:line="240" w:lineRule="auto"/>
              <w:jc w:val="center"/>
            </w:pPr>
            <w:r>
              <w:rPr>
                <w:rFonts w:hint="eastAsia"/>
              </w:rPr>
              <w:t>台</w:t>
            </w:r>
          </w:p>
        </w:tc>
        <w:tc>
          <w:tcPr>
            <w:tcW w:w="5108" w:type="dxa"/>
            <w:vAlign w:val="center"/>
          </w:tcPr>
          <w:p>
            <w:pPr>
              <w:widowControl/>
              <w:spacing w:line="240" w:lineRule="auto"/>
              <w:ind w:firstLine="0" w:firstLineChars="0"/>
              <w:jc w:val="left"/>
            </w:pPr>
            <w:r>
              <w:rPr>
                <w:rFonts w:hint="eastAsia" w:ascii="宋体" w:hAnsi="宋体" w:cs="宋体"/>
              </w:rPr>
              <w:t>1.需同时支持</w:t>
            </w:r>
            <w:r>
              <w:rPr>
                <w:rFonts w:ascii="宋体" w:hAnsi="宋体" w:cs="宋体"/>
              </w:rPr>
              <w:t>ITU-T H.323</w:t>
            </w:r>
            <w:r>
              <w:rPr>
                <w:rFonts w:hint="eastAsia" w:ascii="宋体" w:hAnsi="宋体" w:cs="宋体"/>
              </w:rPr>
              <w:t>、</w:t>
            </w:r>
            <w:r>
              <w:rPr>
                <w:rFonts w:ascii="宋体" w:hAnsi="宋体" w:cs="宋体"/>
              </w:rPr>
              <w:t>IETF SIP</w:t>
            </w:r>
            <w:r>
              <w:rPr>
                <w:rFonts w:hint="eastAsia" w:ascii="宋体" w:hAnsi="宋体" w:cs="宋体"/>
              </w:rPr>
              <w:t>标准协议。</w:t>
            </w:r>
            <w:r>
              <w:rPr>
                <w:rFonts w:hint="eastAsia" w:ascii="仿宋" w:hAnsi="仿宋" w:eastAsia="仿宋" w:cs="仿宋"/>
                <w:color w:val="000000"/>
                <w:lang w:bidi="ar"/>
              </w:rPr>
              <w:t xml:space="preserve"> </w:t>
            </w:r>
          </w:p>
          <w:p>
            <w:pPr>
              <w:widowControl/>
              <w:spacing w:line="240" w:lineRule="auto"/>
              <w:ind w:firstLine="0" w:firstLineChars="0"/>
              <w:jc w:val="left"/>
              <w:rPr>
                <w:rFonts w:ascii="宋体" w:hAnsi="宋体" w:cs="宋体"/>
              </w:rPr>
            </w:pPr>
            <w:r>
              <w:rPr>
                <w:rFonts w:hint="eastAsia" w:ascii="宋体" w:hAnsi="宋体" w:cs="宋体"/>
              </w:rPr>
              <w:t>2.视频编解码应支持</w:t>
            </w:r>
            <w:r>
              <w:rPr>
                <w:rFonts w:ascii="宋体" w:hAnsi="宋体" w:cs="宋体"/>
              </w:rPr>
              <w:t>H.264</w:t>
            </w:r>
            <w:r>
              <w:rPr>
                <w:rFonts w:hint="eastAsia" w:ascii="宋体" w:hAnsi="宋体" w:cs="宋体"/>
              </w:rPr>
              <w:t>、</w:t>
            </w:r>
            <w:r>
              <w:rPr>
                <w:rFonts w:ascii="宋体" w:hAnsi="宋体" w:cs="宋体"/>
              </w:rPr>
              <w:t>H.265</w:t>
            </w:r>
            <w:r>
              <w:rPr>
                <w:rFonts w:hint="eastAsia" w:ascii="宋体" w:hAnsi="宋体" w:cs="宋体"/>
              </w:rPr>
              <w:t>协议，辅流应支持</w:t>
            </w:r>
            <w:r>
              <w:rPr>
                <w:rFonts w:ascii="宋体" w:hAnsi="宋体" w:cs="宋体"/>
              </w:rPr>
              <w:t>H.239</w:t>
            </w:r>
            <w:r>
              <w:rPr>
                <w:rFonts w:hint="eastAsia" w:ascii="宋体" w:hAnsi="宋体" w:cs="宋体"/>
              </w:rPr>
              <w:t>、</w:t>
            </w:r>
            <w:r>
              <w:rPr>
                <w:rFonts w:ascii="宋体" w:hAnsi="宋体" w:cs="宋体"/>
              </w:rPr>
              <w:t>BFCP</w:t>
            </w:r>
            <w:r>
              <w:rPr>
                <w:rFonts w:hint="eastAsia" w:ascii="宋体" w:hAnsi="宋体" w:cs="宋体"/>
              </w:rPr>
              <w:t xml:space="preserve">协议。 </w:t>
            </w:r>
          </w:p>
          <w:p>
            <w:pPr>
              <w:widowControl/>
              <w:spacing w:line="240" w:lineRule="auto"/>
              <w:ind w:firstLine="0" w:firstLineChars="0"/>
              <w:jc w:val="left"/>
              <w:rPr>
                <w:rFonts w:ascii="宋体" w:hAnsi="宋体" w:cs="宋体"/>
              </w:rPr>
            </w:pPr>
            <w:r>
              <w:rPr>
                <w:rFonts w:hint="eastAsia" w:ascii="宋体" w:hAnsi="宋体" w:cs="宋体"/>
              </w:rPr>
              <w:t>3.音频应支持</w:t>
            </w:r>
            <w:r>
              <w:rPr>
                <w:rFonts w:ascii="宋体" w:hAnsi="宋体" w:cs="宋体"/>
              </w:rPr>
              <w:t>G.711a/u</w:t>
            </w:r>
            <w:r>
              <w:rPr>
                <w:rFonts w:hint="eastAsia" w:ascii="宋体" w:hAnsi="宋体" w:cs="宋体"/>
              </w:rPr>
              <w:t>、</w:t>
            </w:r>
            <w:r>
              <w:rPr>
                <w:rFonts w:ascii="宋体" w:hAnsi="宋体" w:cs="宋体"/>
              </w:rPr>
              <w:t>G.722</w:t>
            </w:r>
            <w:r>
              <w:rPr>
                <w:rFonts w:hint="eastAsia" w:ascii="宋体" w:hAnsi="宋体" w:cs="宋体"/>
              </w:rPr>
              <w:t>、</w:t>
            </w:r>
            <w:r>
              <w:rPr>
                <w:rFonts w:ascii="宋体" w:hAnsi="宋体" w:cs="宋体"/>
              </w:rPr>
              <w:t>G.722.1</w:t>
            </w:r>
            <w:r>
              <w:rPr>
                <w:rFonts w:hint="eastAsia" w:ascii="宋体" w:hAnsi="宋体" w:cs="宋体"/>
              </w:rPr>
              <w:t>、</w:t>
            </w:r>
            <w:r>
              <w:rPr>
                <w:rFonts w:ascii="宋体" w:hAnsi="宋体" w:cs="宋体"/>
              </w:rPr>
              <w:t>G.722.1</w:t>
            </w:r>
            <w:r>
              <w:rPr>
                <w:rFonts w:hint="eastAsia" w:ascii="宋体" w:hAnsi="宋体" w:cs="宋体"/>
              </w:rPr>
              <w:t xml:space="preserve">c、 </w:t>
            </w:r>
            <w:r>
              <w:rPr>
                <w:rFonts w:ascii="宋体" w:hAnsi="宋体" w:cs="宋体"/>
              </w:rPr>
              <w:t>AAC-LC</w:t>
            </w:r>
            <w:r>
              <w:rPr>
                <w:rFonts w:hint="eastAsia" w:ascii="宋体" w:hAnsi="宋体" w:cs="宋体"/>
              </w:rPr>
              <w:t>、</w:t>
            </w:r>
            <w:r>
              <w:rPr>
                <w:rFonts w:ascii="宋体" w:hAnsi="宋体" w:cs="宋体"/>
              </w:rPr>
              <w:t>AAC-LD</w:t>
            </w:r>
            <w:r>
              <w:rPr>
                <w:rFonts w:hint="eastAsia" w:ascii="宋体" w:hAnsi="宋体" w:cs="宋体"/>
              </w:rPr>
              <w:t>、</w:t>
            </w:r>
            <w:r>
              <w:rPr>
                <w:rFonts w:ascii="宋体" w:hAnsi="宋体" w:cs="宋体"/>
              </w:rPr>
              <w:t>OPUS</w:t>
            </w:r>
            <w:r>
              <w:rPr>
                <w:rFonts w:hint="eastAsia" w:ascii="宋体" w:hAnsi="宋体" w:cs="宋体"/>
              </w:rPr>
              <w:t xml:space="preserve">等协议。 </w:t>
            </w:r>
          </w:p>
          <w:p>
            <w:pPr>
              <w:widowControl/>
              <w:spacing w:line="240" w:lineRule="auto"/>
              <w:ind w:firstLine="0" w:firstLineChars="0"/>
              <w:jc w:val="left"/>
              <w:rPr>
                <w:rFonts w:ascii="宋体" w:hAnsi="宋体" w:cs="宋体"/>
              </w:rPr>
            </w:pPr>
            <w:r>
              <w:rPr>
                <w:rFonts w:hint="eastAsia" w:ascii="宋体" w:hAnsi="宋体" w:cs="宋体"/>
              </w:rPr>
              <w:t>4.支持资源池功能，可与省级</w:t>
            </w:r>
            <w:r>
              <w:rPr>
                <w:rFonts w:ascii="宋体" w:hAnsi="宋体" w:cs="宋体"/>
              </w:rPr>
              <w:t>MCU</w:t>
            </w:r>
            <w:r>
              <w:rPr>
                <w:rFonts w:hint="eastAsia" w:ascii="宋体" w:hAnsi="宋体" w:cs="宋体"/>
              </w:rPr>
              <w:t xml:space="preserve">融合资源池实现会议资源动态自动分配或互为备份。 </w:t>
            </w:r>
          </w:p>
          <w:p>
            <w:pPr>
              <w:widowControl/>
              <w:spacing w:line="240" w:lineRule="auto"/>
              <w:ind w:firstLine="0" w:firstLineChars="0"/>
              <w:jc w:val="left"/>
              <w:rPr>
                <w:rFonts w:ascii="宋体" w:hAnsi="宋体" w:cs="宋体"/>
              </w:rPr>
            </w:pPr>
            <w:r>
              <w:rPr>
                <w:rFonts w:hint="eastAsia" w:ascii="宋体" w:hAnsi="宋体" w:cs="宋体"/>
              </w:rPr>
              <w:t>5.支持向省级平台注册，并向平台实时上报设备在 线、媒体能力、资源动</w:t>
            </w:r>
            <w:bookmarkStart w:id="26" w:name="_GoBack"/>
            <w:bookmarkEnd w:id="26"/>
            <w:r>
              <w:rPr>
                <w:rFonts w:hint="eastAsia" w:ascii="宋体" w:hAnsi="宋体" w:cs="宋体"/>
              </w:rPr>
              <w:t xml:space="preserve">态等状态。 </w:t>
            </w:r>
          </w:p>
          <w:p>
            <w:pPr>
              <w:widowControl/>
              <w:spacing w:line="240" w:lineRule="auto"/>
              <w:ind w:firstLine="0" w:firstLineChars="0"/>
              <w:jc w:val="left"/>
              <w:rPr>
                <w:rFonts w:ascii="宋体" w:hAnsi="宋体" w:cs="宋体"/>
              </w:rPr>
            </w:pPr>
            <w:r>
              <w:rPr>
                <w:rFonts w:hint="eastAsia" w:ascii="宋体" w:hAnsi="宋体" w:cs="宋体"/>
              </w:rPr>
              <w:t xml:space="preserve">6.支持接收省级平台下发配置参数（会议类型、媒体配置、参会用户列表等）及会议日程。 </w:t>
            </w:r>
          </w:p>
          <w:p>
            <w:pPr>
              <w:widowControl/>
              <w:spacing w:line="240" w:lineRule="auto"/>
              <w:ind w:firstLine="0" w:firstLineChars="0"/>
              <w:jc w:val="left"/>
              <w:rPr>
                <w:rFonts w:ascii="宋体" w:hAnsi="宋体" w:cs="宋体"/>
              </w:rPr>
            </w:pPr>
            <w:r>
              <w:rPr>
                <w:rFonts w:hint="eastAsia" w:ascii="宋体" w:hAnsi="宋体" w:cs="宋体"/>
              </w:rPr>
              <w:t xml:space="preserve">7.应支持与省级视频系统平台实现无缝数字级联。 </w:t>
            </w:r>
          </w:p>
          <w:p>
            <w:pPr>
              <w:widowControl/>
              <w:spacing w:line="240" w:lineRule="auto"/>
              <w:ind w:firstLine="0" w:firstLineChars="0"/>
              <w:jc w:val="left"/>
              <w:rPr>
                <w:rFonts w:ascii="宋体" w:hAnsi="宋体" w:cs="宋体"/>
              </w:rPr>
            </w:pPr>
            <w:r>
              <w:rPr>
                <w:rFonts w:hint="eastAsia" w:ascii="宋体" w:hAnsi="宋体" w:cs="宋体"/>
              </w:rPr>
              <w:t>8.支持发言序列设置操作，可以清楚看到发言会场的先后顺序，同时支持调序。</w:t>
            </w:r>
          </w:p>
          <w:p>
            <w:pPr>
              <w:pStyle w:val="2"/>
              <w:spacing w:line="240" w:lineRule="auto"/>
              <w:ind w:firstLine="0" w:firstLineChars="0"/>
            </w:pPr>
            <w:r>
              <w:rPr>
                <w:rFonts w:hint="eastAsia" w:ascii="宋体" w:hAnsi="宋体" w:cs="宋体"/>
              </w:rPr>
              <w:t>9.本次提供不少于</w:t>
            </w:r>
            <w:r>
              <w:rPr>
                <w:rFonts w:hint="eastAsia" w:ascii="宋体" w:hAnsi="宋体" w:cs="宋体"/>
                <w:color w:val="auto"/>
                <w:highlight w:val="none"/>
                <w:lang w:val="en-US" w:eastAsia="zh-CN"/>
              </w:rPr>
              <w:t>4</w:t>
            </w:r>
            <w:r>
              <w:rPr>
                <w:rFonts w:hint="eastAsia" w:ascii="宋体" w:hAnsi="宋体" w:cs="宋体"/>
                <w:color w:val="000000" w:themeColor="text1"/>
                <w14:textFill>
                  <w14:solidFill>
                    <w14:schemeClr w14:val="tx1"/>
                  </w14:solidFill>
                </w14:textFill>
              </w:rPr>
              <w:t>路4K</w:t>
            </w:r>
            <w:r>
              <w:rPr>
                <w:rFonts w:hint="eastAsia" w:ascii="宋体" w:hAnsi="宋体" w:cs="宋体"/>
              </w:rPr>
              <w:t>高清视频接入能力，同时可以换算成</w:t>
            </w:r>
            <w:r>
              <w:rPr>
                <w:rFonts w:hint="default" w:ascii="宋体" w:hAnsi="宋体" w:cs="宋体"/>
                <w:highlight w:val="none"/>
                <w:lang w:val="en"/>
              </w:rPr>
              <w:t>16</w:t>
            </w:r>
            <w:r>
              <w:rPr>
                <w:rFonts w:hint="eastAsia" w:ascii="宋体" w:hAnsi="宋体" w:cs="宋体"/>
              </w:rPr>
              <w:t>路1080P高清视频接入能力。</w:t>
            </w:r>
          </w:p>
        </w:tc>
        <w:tc>
          <w:tcPr>
            <w:tcW w:w="1596" w:type="dxa"/>
            <w:vAlign w:val="center"/>
          </w:tcPr>
          <w:p>
            <w:pPr>
              <w:pStyle w:val="29"/>
              <w:spacing w:line="240" w:lineRule="auto"/>
              <w:jc w:val="center"/>
            </w:pPr>
            <w:r>
              <w:rPr>
                <w:rFonts w:hint="eastAsia" w:ascii="宋体" w:hAnsi="宋体"/>
              </w:rPr>
              <w:t>支持1</w:t>
            </w:r>
            <w:r>
              <w:rPr>
                <w:rFonts w:ascii="宋体" w:hAnsi="宋体"/>
              </w:rPr>
              <w:t>6</w:t>
            </w:r>
            <w:r>
              <w:rPr>
                <w:rFonts w:hint="eastAsia" w:ascii="宋体" w:hAnsi="宋体"/>
              </w:rPr>
              <w:t>路1080P会场接入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9" w:type="dxa"/>
            <w:vAlign w:val="center"/>
          </w:tcPr>
          <w:p>
            <w:pPr>
              <w:pStyle w:val="29"/>
              <w:spacing w:line="240" w:lineRule="auto"/>
              <w:jc w:val="center"/>
            </w:pPr>
            <w:r>
              <w:rPr>
                <w:rFonts w:hint="eastAsia"/>
              </w:rPr>
              <w:t>录播服务器</w:t>
            </w:r>
          </w:p>
        </w:tc>
        <w:tc>
          <w:tcPr>
            <w:tcW w:w="787" w:type="dxa"/>
            <w:vAlign w:val="center"/>
          </w:tcPr>
          <w:p>
            <w:pPr>
              <w:pStyle w:val="29"/>
              <w:spacing w:line="240" w:lineRule="auto"/>
              <w:jc w:val="center"/>
            </w:pPr>
            <w:r>
              <w:rPr>
                <w:rFonts w:hint="eastAsia"/>
              </w:rPr>
              <w:t>高清录播服务器</w:t>
            </w:r>
          </w:p>
        </w:tc>
        <w:tc>
          <w:tcPr>
            <w:tcW w:w="437" w:type="dxa"/>
            <w:vAlign w:val="center"/>
          </w:tcPr>
          <w:p>
            <w:pPr>
              <w:pStyle w:val="29"/>
              <w:spacing w:line="240" w:lineRule="auto"/>
              <w:jc w:val="center"/>
              <w:rPr>
                <w:rFonts w:hint="eastAsia" w:eastAsia="宋体"/>
                <w:lang w:eastAsia="zh-CN"/>
              </w:rPr>
            </w:pPr>
            <w:r>
              <w:rPr>
                <w:rFonts w:hint="eastAsia"/>
                <w:highlight w:val="none"/>
                <w:lang w:val="en-US" w:eastAsia="zh-CN"/>
              </w:rPr>
              <w:t>1</w:t>
            </w:r>
          </w:p>
        </w:tc>
        <w:tc>
          <w:tcPr>
            <w:tcW w:w="413" w:type="dxa"/>
            <w:vAlign w:val="center"/>
          </w:tcPr>
          <w:p>
            <w:pPr>
              <w:pStyle w:val="29"/>
              <w:spacing w:line="240" w:lineRule="auto"/>
              <w:jc w:val="center"/>
            </w:pPr>
            <w:r>
              <w:rPr>
                <w:rFonts w:hint="eastAsia"/>
              </w:rPr>
              <w:t>台</w:t>
            </w:r>
          </w:p>
        </w:tc>
        <w:tc>
          <w:tcPr>
            <w:tcW w:w="5108" w:type="dxa"/>
            <w:vAlign w:val="center"/>
          </w:tcPr>
          <w:p>
            <w:pPr>
              <w:widowControl/>
              <w:spacing w:line="240" w:lineRule="auto"/>
              <w:ind w:firstLine="0" w:firstLineChars="0"/>
              <w:jc w:val="left"/>
              <w:rPr>
                <w:rFonts w:ascii="宋体" w:hAnsi="宋体" w:cs="宋体"/>
              </w:rPr>
            </w:pPr>
            <w:r>
              <w:rPr>
                <w:rFonts w:hint="eastAsia" w:ascii="宋体" w:hAnsi="宋体" w:cs="宋体"/>
              </w:rPr>
              <w:t>1.应同时支持</w:t>
            </w:r>
            <w:r>
              <w:rPr>
                <w:rFonts w:ascii="宋体" w:hAnsi="宋体" w:cs="宋体"/>
              </w:rPr>
              <w:t>ITU-T H.323</w:t>
            </w:r>
            <w:r>
              <w:rPr>
                <w:rFonts w:hint="eastAsia" w:ascii="宋体" w:hAnsi="宋体" w:cs="宋体"/>
              </w:rPr>
              <w:t>、</w:t>
            </w:r>
            <w:r>
              <w:rPr>
                <w:rFonts w:ascii="宋体" w:hAnsi="宋体" w:cs="宋体"/>
              </w:rPr>
              <w:t>IETF SIP</w:t>
            </w:r>
            <w:r>
              <w:rPr>
                <w:rFonts w:hint="eastAsia" w:ascii="宋体" w:hAnsi="宋体" w:cs="宋体"/>
              </w:rPr>
              <w:t xml:space="preserve">标准协议。 </w:t>
            </w:r>
          </w:p>
          <w:p>
            <w:pPr>
              <w:widowControl/>
              <w:spacing w:line="240" w:lineRule="auto"/>
              <w:ind w:firstLine="0" w:firstLineChars="0"/>
              <w:jc w:val="left"/>
              <w:rPr>
                <w:rFonts w:ascii="宋体" w:hAnsi="宋体" w:cs="宋体"/>
              </w:rPr>
            </w:pPr>
            <w:r>
              <w:rPr>
                <w:rFonts w:hint="eastAsia" w:ascii="宋体" w:hAnsi="宋体" w:cs="宋体"/>
              </w:rPr>
              <w:t>2.支持</w:t>
            </w:r>
            <w:r>
              <w:rPr>
                <w:rFonts w:ascii="宋体" w:hAnsi="宋体" w:cs="宋体"/>
              </w:rPr>
              <w:t>H.264</w:t>
            </w:r>
            <w:r>
              <w:rPr>
                <w:rFonts w:hint="eastAsia" w:ascii="宋体" w:hAnsi="宋体" w:cs="宋体"/>
              </w:rPr>
              <w:t>、</w:t>
            </w:r>
            <w:r>
              <w:rPr>
                <w:rFonts w:ascii="宋体" w:hAnsi="宋体" w:cs="宋体"/>
              </w:rPr>
              <w:t>H.263</w:t>
            </w:r>
            <w:r>
              <w:rPr>
                <w:rFonts w:hint="eastAsia" w:ascii="宋体" w:hAnsi="宋体" w:cs="宋体"/>
              </w:rPr>
              <w:t>、</w:t>
            </w:r>
            <w:r>
              <w:rPr>
                <w:rFonts w:ascii="宋体" w:hAnsi="宋体" w:cs="宋体"/>
              </w:rPr>
              <w:t>H.265</w:t>
            </w:r>
            <w:r>
              <w:rPr>
                <w:rFonts w:hint="eastAsia" w:ascii="宋体" w:hAnsi="宋体" w:cs="宋体"/>
              </w:rPr>
              <w:t>视频协议，支持</w:t>
            </w:r>
            <w:r>
              <w:rPr>
                <w:rFonts w:ascii="宋体" w:hAnsi="宋体" w:cs="宋体"/>
              </w:rPr>
              <w:t>H.239</w:t>
            </w:r>
            <w:r>
              <w:rPr>
                <w:rFonts w:hint="eastAsia" w:ascii="宋体" w:hAnsi="宋体" w:cs="宋体"/>
              </w:rPr>
              <w:t>、</w:t>
            </w:r>
            <w:r>
              <w:rPr>
                <w:rFonts w:ascii="宋体" w:hAnsi="宋体" w:cs="宋体"/>
              </w:rPr>
              <w:t>BFCP</w:t>
            </w:r>
            <w:r>
              <w:rPr>
                <w:rFonts w:hint="eastAsia" w:ascii="宋体" w:hAnsi="宋体" w:cs="宋体"/>
              </w:rPr>
              <w:t xml:space="preserve">双流协议。 </w:t>
            </w:r>
          </w:p>
          <w:p>
            <w:pPr>
              <w:widowControl/>
              <w:spacing w:line="240" w:lineRule="auto"/>
              <w:ind w:firstLine="0" w:firstLineChars="0"/>
              <w:jc w:val="left"/>
              <w:rPr>
                <w:rFonts w:ascii="宋体" w:hAnsi="宋体" w:cs="宋体"/>
              </w:rPr>
            </w:pPr>
            <w:r>
              <w:rPr>
                <w:rFonts w:hint="eastAsia" w:ascii="宋体" w:hAnsi="宋体" w:cs="宋体"/>
              </w:rPr>
              <w:t>3.支持</w:t>
            </w:r>
            <w:r>
              <w:rPr>
                <w:rFonts w:ascii="宋体" w:hAnsi="宋体" w:cs="宋体"/>
              </w:rPr>
              <w:t>G.711a/u</w:t>
            </w:r>
            <w:r>
              <w:rPr>
                <w:rFonts w:hint="eastAsia" w:ascii="宋体" w:hAnsi="宋体" w:cs="宋体"/>
              </w:rPr>
              <w:t>、</w:t>
            </w:r>
            <w:r>
              <w:rPr>
                <w:rFonts w:ascii="宋体" w:hAnsi="宋体" w:cs="宋体"/>
              </w:rPr>
              <w:t>G.728</w:t>
            </w:r>
            <w:r>
              <w:rPr>
                <w:rFonts w:hint="eastAsia" w:ascii="宋体" w:hAnsi="宋体" w:cs="宋体"/>
              </w:rPr>
              <w:t>、</w:t>
            </w:r>
            <w:r>
              <w:rPr>
                <w:rFonts w:ascii="宋体" w:hAnsi="宋体" w:cs="宋体"/>
              </w:rPr>
              <w:t>G.723.1</w:t>
            </w:r>
            <w:r>
              <w:rPr>
                <w:rFonts w:hint="eastAsia" w:ascii="宋体" w:hAnsi="宋体" w:cs="宋体"/>
              </w:rPr>
              <w:t>、</w:t>
            </w:r>
            <w:r>
              <w:rPr>
                <w:rFonts w:ascii="宋体" w:hAnsi="宋体" w:cs="宋体"/>
              </w:rPr>
              <w:t>G.729</w:t>
            </w:r>
            <w:r>
              <w:rPr>
                <w:rFonts w:hint="eastAsia" w:ascii="宋体" w:hAnsi="宋体" w:cs="宋体"/>
              </w:rPr>
              <w:t>、</w:t>
            </w:r>
            <w:r>
              <w:rPr>
                <w:rFonts w:ascii="宋体" w:hAnsi="宋体" w:cs="宋体"/>
              </w:rPr>
              <w:t>G.722</w:t>
            </w:r>
            <w:r>
              <w:rPr>
                <w:rFonts w:hint="eastAsia" w:ascii="宋体" w:hAnsi="宋体" w:cs="宋体"/>
              </w:rPr>
              <w:t xml:space="preserve">、 </w:t>
            </w:r>
          </w:p>
          <w:p>
            <w:pPr>
              <w:widowControl/>
              <w:spacing w:line="240" w:lineRule="auto"/>
              <w:ind w:firstLine="0" w:firstLineChars="0"/>
              <w:jc w:val="left"/>
              <w:rPr>
                <w:rFonts w:ascii="宋体" w:hAnsi="宋体" w:cs="宋体"/>
              </w:rPr>
            </w:pPr>
            <w:r>
              <w:rPr>
                <w:rFonts w:ascii="宋体" w:hAnsi="宋体" w:cs="宋体"/>
              </w:rPr>
              <w:t>G.722.1</w:t>
            </w:r>
            <w:r>
              <w:rPr>
                <w:rFonts w:hint="eastAsia" w:ascii="宋体" w:hAnsi="宋体" w:cs="宋体"/>
              </w:rPr>
              <w:t xml:space="preserve">等音频协议。 </w:t>
            </w:r>
          </w:p>
          <w:p>
            <w:pPr>
              <w:widowControl/>
              <w:spacing w:line="240" w:lineRule="auto"/>
              <w:ind w:firstLine="0" w:firstLineChars="0"/>
              <w:jc w:val="left"/>
              <w:rPr>
                <w:rFonts w:ascii="宋体" w:hAnsi="宋体" w:cs="宋体"/>
              </w:rPr>
            </w:pPr>
            <w:r>
              <w:rPr>
                <w:rFonts w:hint="eastAsia" w:ascii="宋体" w:hAnsi="宋体" w:cs="宋体"/>
              </w:rPr>
              <w:t>4.建议支持不低于</w:t>
            </w:r>
            <w:r>
              <w:rPr>
                <w:rFonts w:ascii="宋体" w:hAnsi="宋体" w:cs="宋体"/>
              </w:rPr>
              <w:t>2TB</w:t>
            </w:r>
            <w:r>
              <w:rPr>
                <w:rFonts w:hint="eastAsia" w:ascii="宋体" w:hAnsi="宋体" w:cs="宋体"/>
              </w:rPr>
              <w:t xml:space="preserve">的存储容量。 </w:t>
            </w:r>
          </w:p>
          <w:p>
            <w:pPr>
              <w:widowControl/>
              <w:spacing w:line="240" w:lineRule="auto"/>
              <w:ind w:firstLine="0" w:firstLineChars="0"/>
              <w:jc w:val="left"/>
              <w:rPr>
                <w:rFonts w:ascii="宋体" w:hAnsi="宋体" w:cs="宋体"/>
              </w:rPr>
            </w:pPr>
            <w:r>
              <w:rPr>
                <w:rFonts w:hint="eastAsia" w:ascii="宋体" w:hAnsi="宋体" w:cs="宋体"/>
              </w:rPr>
              <w:t xml:space="preserve">5.支持向省级平台注册，并向平台实时上报设备在 线、媒体能力等状态。 </w:t>
            </w:r>
          </w:p>
          <w:p>
            <w:pPr>
              <w:widowControl/>
              <w:spacing w:line="240" w:lineRule="auto"/>
              <w:ind w:firstLine="0" w:firstLineChars="0"/>
              <w:jc w:val="left"/>
              <w:rPr>
                <w:rFonts w:ascii="宋体" w:hAnsi="宋体" w:cs="宋体"/>
              </w:rPr>
            </w:pPr>
            <w:r>
              <w:rPr>
                <w:rFonts w:hint="eastAsia" w:ascii="宋体" w:hAnsi="宋体" w:cs="宋体"/>
              </w:rPr>
              <w:t>6.支持接收省级平台下发配置参数（</w:t>
            </w:r>
            <w:r>
              <w:rPr>
                <w:rFonts w:ascii="宋体" w:hAnsi="宋体" w:cs="宋体"/>
              </w:rPr>
              <w:t>GK</w:t>
            </w:r>
            <w:r>
              <w:rPr>
                <w:rFonts w:hint="eastAsia" w:ascii="宋体" w:hAnsi="宋体" w:cs="宋体"/>
              </w:rPr>
              <w:t xml:space="preserve">注册配置、 </w:t>
            </w:r>
            <w:r>
              <w:rPr>
                <w:rFonts w:ascii="宋体" w:hAnsi="宋体" w:cs="宋体"/>
              </w:rPr>
              <w:t>SIP</w:t>
            </w:r>
            <w:r>
              <w:rPr>
                <w:rFonts w:hint="eastAsia" w:ascii="宋体" w:hAnsi="宋体" w:cs="宋体"/>
              </w:rPr>
              <w:t xml:space="preserve">注册配置、会管平台配置）及会议日程。 </w:t>
            </w:r>
          </w:p>
          <w:p>
            <w:pPr>
              <w:widowControl/>
              <w:spacing w:line="240" w:lineRule="auto"/>
              <w:ind w:firstLine="0" w:firstLineChars="0"/>
              <w:jc w:val="left"/>
              <w:rPr>
                <w:rFonts w:ascii="宋体" w:hAnsi="宋体" w:cs="宋体"/>
              </w:rPr>
            </w:pPr>
            <w:r>
              <w:rPr>
                <w:rFonts w:hint="eastAsia" w:ascii="宋体" w:hAnsi="宋体" w:cs="宋体"/>
              </w:rPr>
              <w:t>7.应支持在省级平台上进行视频录制文件的在线直 播预览功能及媒体文件点播功能.</w:t>
            </w:r>
          </w:p>
        </w:tc>
        <w:tc>
          <w:tcPr>
            <w:tcW w:w="1596" w:type="dxa"/>
            <w:vAlign w:val="center"/>
          </w:tcPr>
          <w:p>
            <w:pPr>
              <w:pStyle w:val="29"/>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Align w:val="center"/>
          </w:tcPr>
          <w:p>
            <w:pPr>
              <w:pStyle w:val="29"/>
              <w:spacing w:line="240" w:lineRule="auto"/>
              <w:jc w:val="center"/>
            </w:pPr>
            <w:r>
              <w:rPr>
                <w:rFonts w:hint="eastAsia"/>
              </w:rPr>
              <w:t>终端</w:t>
            </w:r>
          </w:p>
        </w:tc>
        <w:tc>
          <w:tcPr>
            <w:tcW w:w="787" w:type="dxa"/>
            <w:vAlign w:val="center"/>
          </w:tcPr>
          <w:p>
            <w:pPr>
              <w:pStyle w:val="29"/>
              <w:spacing w:line="240" w:lineRule="auto"/>
              <w:jc w:val="center"/>
            </w:pPr>
            <w:r>
              <w:rPr>
                <w:rFonts w:hint="eastAsia"/>
              </w:rPr>
              <w:t>分体式高清视频会议</w:t>
            </w:r>
            <w:r>
              <w:t>终端</w:t>
            </w:r>
          </w:p>
        </w:tc>
        <w:tc>
          <w:tcPr>
            <w:tcW w:w="437" w:type="dxa"/>
            <w:vAlign w:val="center"/>
          </w:tcPr>
          <w:p>
            <w:pPr>
              <w:pStyle w:val="29"/>
              <w:spacing w:line="240" w:lineRule="auto"/>
              <w:jc w:val="center"/>
              <w:rPr>
                <w:rFonts w:hint="eastAsia" w:eastAsia="宋体"/>
                <w:highlight w:val="yellow"/>
                <w:lang w:eastAsia="zh-CN"/>
              </w:rPr>
            </w:pPr>
            <w:r>
              <w:rPr>
                <w:rFonts w:hint="eastAsia"/>
                <w:highlight w:val="none"/>
                <w:lang w:val="en-US" w:eastAsia="zh-CN"/>
              </w:rPr>
              <w:t>1</w:t>
            </w:r>
          </w:p>
        </w:tc>
        <w:tc>
          <w:tcPr>
            <w:tcW w:w="413" w:type="dxa"/>
            <w:vAlign w:val="center"/>
          </w:tcPr>
          <w:p>
            <w:pPr>
              <w:pStyle w:val="29"/>
              <w:spacing w:line="240" w:lineRule="auto"/>
              <w:jc w:val="center"/>
            </w:pPr>
            <w:r>
              <w:rPr>
                <w:rFonts w:hint="eastAsia"/>
              </w:rPr>
              <w:t>台</w:t>
            </w:r>
          </w:p>
        </w:tc>
        <w:tc>
          <w:tcPr>
            <w:tcW w:w="5108" w:type="dxa"/>
            <w:vAlign w:val="center"/>
          </w:tcPr>
          <w:p>
            <w:pPr>
              <w:widowControl/>
              <w:spacing w:line="240" w:lineRule="auto"/>
              <w:ind w:firstLine="0" w:firstLineChars="0"/>
              <w:jc w:val="left"/>
              <w:rPr>
                <w:rFonts w:ascii="宋体" w:hAnsi="宋体" w:cs="宋体"/>
              </w:rPr>
            </w:pPr>
            <w:r>
              <w:rPr>
                <w:rFonts w:hint="eastAsia" w:ascii="宋体" w:hAnsi="宋体" w:cs="宋体"/>
              </w:rPr>
              <w:t>1.应采用嵌入式操作系统，专用</w:t>
            </w:r>
            <w:r>
              <w:rPr>
                <w:rFonts w:ascii="宋体" w:hAnsi="宋体" w:cs="宋体"/>
              </w:rPr>
              <w:t>DSP</w:t>
            </w:r>
            <w:r>
              <w:rPr>
                <w:rFonts w:hint="eastAsia" w:ascii="宋体" w:hAnsi="宋体" w:cs="宋体"/>
              </w:rPr>
              <w:t>硬件架构设计， 应同时支持</w:t>
            </w:r>
            <w:r>
              <w:rPr>
                <w:rFonts w:ascii="宋体" w:hAnsi="宋体" w:cs="宋体"/>
              </w:rPr>
              <w:t>ITU-T H.323</w:t>
            </w:r>
            <w:r>
              <w:rPr>
                <w:rFonts w:hint="eastAsia" w:ascii="宋体" w:hAnsi="宋体" w:cs="宋体"/>
              </w:rPr>
              <w:t>、</w:t>
            </w:r>
            <w:r>
              <w:rPr>
                <w:rFonts w:ascii="宋体" w:hAnsi="宋体" w:cs="宋体"/>
              </w:rPr>
              <w:t>IETF SIP</w:t>
            </w:r>
            <w:r>
              <w:rPr>
                <w:rFonts w:hint="eastAsia" w:ascii="宋体" w:hAnsi="宋体" w:cs="宋体"/>
              </w:rPr>
              <w:t>标准协议。</w:t>
            </w:r>
          </w:p>
          <w:p>
            <w:pPr>
              <w:widowControl/>
              <w:spacing w:line="240" w:lineRule="auto"/>
              <w:ind w:firstLine="0" w:firstLineChars="0"/>
              <w:jc w:val="left"/>
              <w:rPr>
                <w:rFonts w:ascii="宋体" w:hAnsi="宋体" w:cs="宋体"/>
              </w:rPr>
            </w:pPr>
            <w:r>
              <w:rPr>
                <w:rFonts w:hint="eastAsia" w:ascii="宋体" w:hAnsi="宋体" w:cs="宋体"/>
              </w:rPr>
              <w:t>2.视频编解码应支持</w:t>
            </w:r>
            <w:r>
              <w:rPr>
                <w:rFonts w:ascii="宋体" w:hAnsi="宋体" w:cs="宋体"/>
              </w:rPr>
              <w:t>H.264</w:t>
            </w:r>
            <w:r>
              <w:rPr>
                <w:rFonts w:hint="eastAsia" w:ascii="宋体" w:hAnsi="宋体" w:cs="宋体"/>
              </w:rPr>
              <w:t>、</w:t>
            </w:r>
            <w:r>
              <w:rPr>
                <w:rFonts w:ascii="宋体" w:hAnsi="宋体" w:cs="宋体"/>
              </w:rPr>
              <w:t>H.265</w:t>
            </w:r>
            <w:r>
              <w:rPr>
                <w:rFonts w:hint="eastAsia" w:ascii="宋体" w:hAnsi="宋体" w:cs="宋体"/>
              </w:rPr>
              <w:t>协议，辅流应支持</w:t>
            </w:r>
            <w:r>
              <w:rPr>
                <w:rFonts w:ascii="宋体" w:hAnsi="宋体" w:cs="宋体"/>
              </w:rPr>
              <w:t>H.239</w:t>
            </w:r>
            <w:r>
              <w:rPr>
                <w:rFonts w:hint="eastAsia" w:ascii="宋体" w:hAnsi="宋体" w:cs="宋体"/>
              </w:rPr>
              <w:t>、</w:t>
            </w:r>
            <w:r>
              <w:rPr>
                <w:rFonts w:ascii="宋体" w:hAnsi="宋体" w:cs="宋体"/>
              </w:rPr>
              <w:t>BFCP</w:t>
            </w:r>
            <w:r>
              <w:rPr>
                <w:rFonts w:hint="eastAsia" w:ascii="宋体" w:hAnsi="宋体" w:cs="宋体"/>
              </w:rPr>
              <w:t>协议。</w:t>
            </w:r>
          </w:p>
          <w:p>
            <w:pPr>
              <w:widowControl/>
              <w:spacing w:line="240" w:lineRule="auto"/>
              <w:ind w:firstLine="0" w:firstLineChars="0"/>
              <w:jc w:val="left"/>
              <w:rPr>
                <w:rFonts w:ascii="宋体" w:hAnsi="宋体" w:cs="宋体"/>
              </w:rPr>
            </w:pPr>
            <w:r>
              <w:rPr>
                <w:rFonts w:hint="eastAsia" w:ascii="宋体" w:hAnsi="宋体" w:cs="宋体"/>
              </w:rPr>
              <w:t>3.音频系统应支持</w:t>
            </w:r>
            <w:r>
              <w:rPr>
                <w:rFonts w:ascii="宋体" w:hAnsi="宋体" w:cs="宋体"/>
              </w:rPr>
              <w:t>G.711</w:t>
            </w:r>
            <w:r>
              <w:rPr>
                <w:rFonts w:hint="eastAsia" w:ascii="宋体" w:hAnsi="宋体" w:cs="宋体"/>
              </w:rPr>
              <w:t>a</w:t>
            </w:r>
            <w:r>
              <w:rPr>
                <w:rFonts w:ascii="宋体" w:hAnsi="宋体" w:cs="宋体"/>
              </w:rPr>
              <w:t>/u</w:t>
            </w:r>
            <w:r>
              <w:rPr>
                <w:rFonts w:hint="eastAsia" w:ascii="宋体" w:hAnsi="宋体" w:cs="宋体"/>
              </w:rPr>
              <w:t>、</w:t>
            </w:r>
            <w:r>
              <w:rPr>
                <w:rFonts w:ascii="宋体" w:hAnsi="宋体" w:cs="宋体"/>
              </w:rPr>
              <w:t>G.722</w:t>
            </w:r>
            <w:r>
              <w:rPr>
                <w:rFonts w:hint="eastAsia" w:ascii="宋体" w:hAnsi="宋体" w:cs="宋体"/>
              </w:rPr>
              <w:t>、</w:t>
            </w:r>
            <w:r>
              <w:rPr>
                <w:rFonts w:ascii="宋体" w:hAnsi="宋体" w:cs="宋体"/>
              </w:rPr>
              <w:t>G.722.1</w:t>
            </w:r>
            <w:r>
              <w:rPr>
                <w:rFonts w:hint="eastAsia" w:ascii="宋体" w:hAnsi="宋体" w:cs="宋体"/>
              </w:rPr>
              <w:t>、</w:t>
            </w:r>
            <w:r>
              <w:rPr>
                <w:rFonts w:ascii="宋体" w:hAnsi="宋体" w:cs="宋体"/>
              </w:rPr>
              <w:t>G.722.1c</w:t>
            </w:r>
            <w:r>
              <w:rPr>
                <w:rFonts w:hint="eastAsia" w:ascii="宋体" w:hAnsi="宋体" w:cs="宋体"/>
              </w:rPr>
              <w:t>、</w:t>
            </w:r>
            <w:r>
              <w:rPr>
                <w:rFonts w:ascii="宋体" w:hAnsi="宋体" w:cs="宋体"/>
              </w:rPr>
              <w:t>AAC-LC</w:t>
            </w:r>
            <w:r>
              <w:rPr>
                <w:rFonts w:hint="eastAsia" w:ascii="宋体" w:hAnsi="宋体" w:cs="宋体"/>
              </w:rPr>
              <w:t>、</w:t>
            </w:r>
            <w:r>
              <w:rPr>
                <w:rFonts w:ascii="宋体" w:hAnsi="宋体" w:cs="宋体"/>
              </w:rPr>
              <w:t>AAC-LD</w:t>
            </w:r>
            <w:r>
              <w:rPr>
                <w:rFonts w:hint="eastAsia" w:ascii="宋体" w:hAnsi="宋体" w:cs="宋体"/>
              </w:rPr>
              <w:t>、</w:t>
            </w:r>
            <w:r>
              <w:rPr>
                <w:rFonts w:ascii="宋体" w:hAnsi="宋体" w:cs="宋体"/>
              </w:rPr>
              <w:t>OPUS</w:t>
            </w:r>
            <w:r>
              <w:rPr>
                <w:rFonts w:hint="eastAsia" w:ascii="宋体" w:hAnsi="宋体" w:cs="宋体"/>
              </w:rPr>
              <w:t>等协议。</w:t>
            </w:r>
          </w:p>
          <w:p>
            <w:pPr>
              <w:widowControl/>
              <w:spacing w:line="240" w:lineRule="auto"/>
              <w:ind w:firstLine="0" w:firstLineChars="0"/>
              <w:jc w:val="left"/>
              <w:rPr>
                <w:rFonts w:ascii="宋体" w:hAnsi="宋体" w:cs="宋体"/>
              </w:rPr>
            </w:pPr>
            <w:r>
              <w:rPr>
                <w:rFonts w:hint="eastAsia" w:ascii="宋体" w:hAnsi="宋体" w:cs="宋体"/>
              </w:rPr>
              <w:t>4.应支持</w:t>
            </w:r>
            <w:r>
              <w:rPr>
                <w:rFonts w:ascii="宋体" w:hAnsi="宋体" w:cs="宋体"/>
              </w:rPr>
              <w:t>H.235</w:t>
            </w:r>
            <w:r>
              <w:rPr>
                <w:rFonts w:hint="eastAsia" w:ascii="宋体" w:hAnsi="宋体" w:cs="宋体"/>
              </w:rPr>
              <w:t>、</w:t>
            </w:r>
            <w:r>
              <w:rPr>
                <w:rFonts w:ascii="宋体" w:hAnsi="宋体" w:cs="宋体"/>
              </w:rPr>
              <w:t>SRTP</w:t>
            </w:r>
            <w:r>
              <w:rPr>
                <w:rFonts w:hint="eastAsia" w:ascii="宋体" w:hAnsi="宋体" w:cs="宋体"/>
              </w:rPr>
              <w:t>、</w:t>
            </w:r>
            <w:r>
              <w:rPr>
                <w:rFonts w:ascii="宋体" w:hAnsi="宋体" w:cs="宋体"/>
              </w:rPr>
              <w:t>TLS</w:t>
            </w:r>
            <w:r>
              <w:rPr>
                <w:rFonts w:hint="eastAsia" w:ascii="宋体" w:hAnsi="宋体" w:cs="宋体"/>
              </w:rPr>
              <w:t>、</w:t>
            </w:r>
            <w:r>
              <w:rPr>
                <w:rFonts w:ascii="宋体" w:hAnsi="宋体" w:cs="宋体"/>
              </w:rPr>
              <w:t>AES</w:t>
            </w:r>
            <w:r>
              <w:rPr>
                <w:rFonts w:hint="eastAsia" w:ascii="宋体" w:hAnsi="宋体" w:cs="宋体"/>
              </w:rPr>
              <w:t>等多重安全加密协议标准。</w:t>
            </w:r>
          </w:p>
          <w:p>
            <w:pPr>
              <w:widowControl/>
              <w:spacing w:line="240" w:lineRule="auto"/>
              <w:ind w:firstLine="0" w:firstLineChars="0"/>
              <w:jc w:val="left"/>
              <w:rPr>
                <w:rFonts w:ascii="宋体" w:hAnsi="宋体" w:cs="宋体"/>
              </w:rPr>
            </w:pPr>
            <w:r>
              <w:rPr>
                <w:rFonts w:hint="eastAsia" w:ascii="宋体" w:hAnsi="宋体" w:cs="宋体"/>
              </w:rPr>
              <w:t>5.应支持不低于两路</w:t>
            </w:r>
            <w:r>
              <w:rPr>
                <w:rFonts w:ascii="宋体" w:hAnsi="宋体" w:cs="宋体"/>
              </w:rPr>
              <w:t>1080P60fps</w:t>
            </w:r>
            <w:r>
              <w:rPr>
                <w:rFonts w:hint="eastAsia" w:ascii="宋体" w:hAnsi="宋体" w:cs="宋体"/>
              </w:rPr>
              <w:t>高清视频编、解码能力。</w:t>
            </w:r>
          </w:p>
          <w:p>
            <w:pPr>
              <w:widowControl/>
              <w:spacing w:line="240" w:lineRule="auto"/>
              <w:ind w:firstLine="0" w:firstLineChars="0"/>
              <w:jc w:val="left"/>
              <w:rPr>
                <w:rFonts w:ascii="宋体" w:hAnsi="宋体" w:cs="宋体"/>
              </w:rPr>
            </w:pPr>
            <w:r>
              <w:rPr>
                <w:rFonts w:hint="eastAsia" w:ascii="宋体" w:hAnsi="宋体" w:cs="宋体"/>
              </w:rPr>
              <w:t>6.支持向省级平台注册，并向平台实时上报设备在 线、媒体能力、资源动态等状态。</w:t>
            </w:r>
          </w:p>
          <w:p>
            <w:pPr>
              <w:widowControl/>
              <w:spacing w:line="240" w:lineRule="auto"/>
              <w:ind w:firstLine="0" w:firstLineChars="0"/>
              <w:jc w:val="left"/>
              <w:rPr>
                <w:rFonts w:ascii="宋体" w:hAnsi="宋体" w:cs="宋体"/>
              </w:rPr>
            </w:pPr>
            <w:r>
              <w:rPr>
                <w:rFonts w:hint="eastAsia" w:ascii="宋体" w:hAnsi="宋体" w:cs="宋体"/>
              </w:rPr>
              <w:t>7.支持接收省级平台下发配置参数（</w:t>
            </w:r>
            <w:r>
              <w:rPr>
                <w:rFonts w:ascii="宋体" w:hAnsi="宋体" w:cs="宋体"/>
              </w:rPr>
              <w:t>GK</w:t>
            </w:r>
            <w:r>
              <w:rPr>
                <w:rFonts w:hint="eastAsia" w:ascii="宋体" w:hAnsi="宋体" w:cs="宋体"/>
              </w:rPr>
              <w:t xml:space="preserve">注册配置、 </w:t>
            </w:r>
            <w:r>
              <w:rPr>
                <w:rFonts w:ascii="宋体" w:hAnsi="宋体" w:cs="宋体"/>
              </w:rPr>
              <w:t>SIP</w:t>
            </w:r>
            <w:r>
              <w:rPr>
                <w:rFonts w:hint="eastAsia" w:ascii="宋体" w:hAnsi="宋体" w:cs="宋体"/>
              </w:rPr>
              <w:t>注册配置、会管平台配置、接听方式等）及会议日程，并支持接收平台的远程推送升级功能。</w:t>
            </w:r>
          </w:p>
          <w:p>
            <w:pPr>
              <w:widowControl/>
              <w:spacing w:line="240" w:lineRule="auto"/>
              <w:ind w:firstLine="0" w:firstLineChars="0"/>
              <w:jc w:val="left"/>
              <w:rPr>
                <w:rFonts w:ascii="宋体" w:hAnsi="宋体" w:cs="宋体"/>
              </w:rPr>
            </w:pPr>
            <w:r>
              <w:rPr>
                <w:rFonts w:hint="eastAsia" w:ascii="宋体" w:hAnsi="宋体" w:cs="宋体"/>
              </w:rPr>
              <w:t>8.支持自主会议召集功能，并支持会中申请发言、申请会控等功能。</w:t>
            </w:r>
          </w:p>
          <w:p>
            <w:pPr>
              <w:widowControl/>
              <w:spacing w:line="240" w:lineRule="auto"/>
              <w:ind w:firstLine="0" w:firstLineChars="0"/>
              <w:jc w:val="left"/>
              <w:rPr>
                <w:rFonts w:ascii="宋体" w:hAnsi="宋体" w:cs="宋体"/>
              </w:rPr>
            </w:pPr>
            <w:r>
              <w:rPr>
                <w:rFonts w:hint="eastAsia" w:ascii="宋体" w:hAnsi="宋体" w:cs="宋体"/>
              </w:rPr>
              <w:t>9.为保证会议效果，要求会议摄像机与分体式视频会议终端配套，同一品牌。</w:t>
            </w:r>
          </w:p>
          <w:p>
            <w:pPr>
              <w:pStyle w:val="2"/>
              <w:ind w:firstLine="0" w:firstLineChars="0"/>
            </w:pPr>
            <w:r>
              <w:rPr>
                <w:rFonts w:hint="eastAsia" w:ascii="宋体" w:hAnsi="宋体" w:cs="宋体"/>
              </w:rPr>
              <w:t>10.提供配套的同品牌话筒和音频设备。</w:t>
            </w:r>
          </w:p>
        </w:tc>
        <w:tc>
          <w:tcPr>
            <w:tcW w:w="1596" w:type="dxa"/>
            <w:vAlign w:val="center"/>
          </w:tcPr>
          <w:p>
            <w:pPr>
              <w:pStyle w:val="29"/>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739" w:type="dxa"/>
            <w:vAlign w:val="center"/>
          </w:tcPr>
          <w:p>
            <w:pPr>
              <w:pStyle w:val="29"/>
              <w:spacing w:line="240" w:lineRule="auto"/>
              <w:jc w:val="center"/>
            </w:pPr>
            <w:r>
              <w:rPr>
                <w:rFonts w:hint="eastAsia"/>
              </w:rPr>
              <w:t>摄像机</w:t>
            </w:r>
          </w:p>
        </w:tc>
        <w:tc>
          <w:tcPr>
            <w:tcW w:w="787" w:type="dxa"/>
            <w:vAlign w:val="center"/>
          </w:tcPr>
          <w:p>
            <w:pPr>
              <w:pStyle w:val="29"/>
              <w:spacing w:line="240" w:lineRule="auto"/>
              <w:jc w:val="center"/>
            </w:pPr>
            <w:r>
              <w:rPr>
                <w:rFonts w:hint="eastAsia"/>
              </w:rPr>
              <w:t>高清摄像机</w:t>
            </w:r>
          </w:p>
        </w:tc>
        <w:tc>
          <w:tcPr>
            <w:tcW w:w="437" w:type="dxa"/>
            <w:vAlign w:val="center"/>
          </w:tcPr>
          <w:p>
            <w:pPr>
              <w:pStyle w:val="29"/>
              <w:spacing w:line="240" w:lineRule="auto"/>
              <w:jc w:val="center"/>
              <w:rPr>
                <w:rFonts w:hint="eastAsia" w:eastAsia="宋体"/>
                <w:highlight w:val="yellow"/>
                <w:lang w:eastAsia="zh-CN"/>
              </w:rPr>
            </w:pPr>
            <w:r>
              <w:rPr>
                <w:rFonts w:hint="eastAsia"/>
                <w:highlight w:val="none"/>
                <w:lang w:val="en-US" w:eastAsia="zh-CN"/>
              </w:rPr>
              <w:t>2</w:t>
            </w:r>
          </w:p>
        </w:tc>
        <w:tc>
          <w:tcPr>
            <w:tcW w:w="413" w:type="dxa"/>
            <w:vAlign w:val="center"/>
          </w:tcPr>
          <w:p>
            <w:pPr>
              <w:pStyle w:val="29"/>
              <w:spacing w:line="240" w:lineRule="auto"/>
              <w:jc w:val="center"/>
            </w:pPr>
            <w:r>
              <w:rPr>
                <w:rFonts w:hint="eastAsia"/>
              </w:rPr>
              <w:t>台</w:t>
            </w:r>
          </w:p>
        </w:tc>
        <w:tc>
          <w:tcPr>
            <w:tcW w:w="5108" w:type="dxa"/>
            <w:vAlign w:val="center"/>
          </w:tcPr>
          <w:p>
            <w:pPr>
              <w:widowControl/>
              <w:spacing w:line="240" w:lineRule="auto"/>
              <w:ind w:firstLine="0" w:firstLineChars="0"/>
              <w:jc w:val="left"/>
              <w:rPr>
                <w:rFonts w:ascii="宋体" w:hAnsi="宋体" w:cs="宋体"/>
              </w:rPr>
            </w:pPr>
            <w:r>
              <w:rPr>
                <w:rFonts w:hint="eastAsia" w:ascii="宋体" w:hAnsi="宋体" w:cs="宋体"/>
              </w:rPr>
              <w:t>1</w:t>
            </w:r>
            <w:r>
              <w:rPr>
                <w:rFonts w:hint="eastAsia" w:ascii="宋体" w:hAnsi="宋体" w:cs="宋体"/>
                <w:lang w:val="en-US" w:eastAsia="zh-CN"/>
              </w:rPr>
              <w:t>.</w:t>
            </w:r>
            <w:r>
              <w:rPr>
                <w:rFonts w:hint="eastAsia" w:ascii="宋体" w:hAnsi="宋体" w:cs="宋体"/>
              </w:rPr>
              <w:t>镜头应采用1/2.5英寸高品质UH CMOS传感器成像芯片，支持851万像素，支持12倍光学变焦。</w:t>
            </w:r>
          </w:p>
          <w:p>
            <w:pPr>
              <w:widowControl/>
              <w:spacing w:line="240" w:lineRule="auto"/>
              <w:ind w:firstLine="0" w:firstLineChars="0"/>
              <w:jc w:val="left"/>
              <w:rPr>
                <w:rFonts w:ascii="宋体" w:hAnsi="宋体" w:cs="宋体"/>
              </w:rPr>
            </w:pPr>
            <w:r>
              <w:rPr>
                <w:rFonts w:hint="eastAsia" w:ascii="宋体" w:hAnsi="宋体" w:cs="宋体"/>
              </w:rPr>
              <w:t>2</w:t>
            </w:r>
            <w:r>
              <w:rPr>
                <w:rFonts w:hint="eastAsia" w:ascii="宋体" w:hAnsi="宋体" w:cs="宋体"/>
                <w:lang w:val="en-US" w:eastAsia="zh-CN"/>
              </w:rPr>
              <w:t>.</w:t>
            </w:r>
            <w:r>
              <w:rPr>
                <w:rFonts w:hint="eastAsia" w:ascii="宋体" w:hAnsi="宋体" w:cs="宋体"/>
              </w:rPr>
              <w:t>支持4K@30、1080P@60/30、720P@60/30等高清信号输出。</w:t>
            </w:r>
          </w:p>
          <w:p>
            <w:pPr>
              <w:widowControl/>
              <w:spacing w:line="240" w:lineRule="auto"/>
              <w:ind w:firstLine="0" w:firstLineChars="0"/>
              <w:jc w:val="left"/>
              <w:rPr>
                <w:rFonts w:ascii="宋体" w:hAnsi="宋体" w:cs="宋体"/>
              </w:rPr>
            </w:pPr>
            <w:r>
              <w:rPr>
                <w:rFonts w:ascii="宋体" w:hAnsi="宋体" w:cs="宋体"/>
              </w:rPr>
              <w:t>3</w:t>
            </w:r>
            <w:r>
              <w:rPr>
                <w:rFonts w:hint="eastAsia" w:ascii="宋体" w:hAnsi="宋体" w:cs="宋体"/>
                <w:lang w:val="en-US" w:eastAsia="zh-CN"/>
              </w:rPr>
              <w:t>.</w:t>
            </w:r>
            <w:r>
              <w:rPr>
                <w:rFonts w:hint="eastAsia" w:ascii="宋体" w:hAnsi="宋体" w:cs="宋体"/>
              </w:rPr>
              <w:t>支持标准的三合一接口：标准的HDBaseT接口，非私有接口，一条普通网线传输无压缩的超高清视频、控制信号和电源，避免了繁杂线缆的困扰。</w:t>
            </w:r>
          </w:p>
          <w:p>
            <w:pPr>
              <w:widowControl/>
              <w:spacing w:line="240" w:lineRule="auto"/>
              <w:ind w:firstLine="0" w:firstLineChars="0"/>
              <w:jc w:val="left"/>
              <w:rPr>
                <w:rFonts w:ascii="宋体" w:hAnsi="宋体" w:cs="宋体"/>
              </w:rPr>
            </w:pPr>
            <w:r>
              <w:rPr>
                <w:rFonts w:ascii="宋体" w:hAnsi="宋体" w:cs="宋体"/>
              </w:rPr>
              <w:t>4</w:t>
            </w:r>
            <w:r>
              <w:rPr>
                <w:rFonts w:hint="eastAsia" w:ascii="宋体" w:hAnsi="宋体" w:cs="宋体"/>
                <w:lang w:val="en-US" w:eastAsia="zh-CN"/>
              </w:rPr>
              <w:t>.</w:t>
            </w:r>
            <w:r>
              <w:rPr>
                <w:rFonts w:hint="eastAsia" w:ascii="宋体" w:hAnsi="宋体" w:cs="宋体"/>
              </w:rPr>
              <w:t>支持多种控制方式和多种控制协议（VISCA协议/Pelco-D/Pelco-P）。</w:t>
            </w:r>
          </w:p>
          <w:p>
            <w:pPr>
              <w:widowControl/>
              <w:spacing w:line="240" w:lineRule="auto"/>
              <w:ind w:firstLine="0" w:firstLineChars="0"/>
              <w:jc w:val="left"/>
              <w:rPr>
                <w:rFonts w:ascii="宋体" w:hAnsi="宋体" w:cs="宋体"/>
              </w:rPr>
            </w:pPr>
            <w:r>
              <w:rPr>
                <w:rFonts w:ascii="宋体" w:hAnsi="宋体" w:cs="宋体"/>
              </w:rPr>
              <w:t>5</w:t>
            </w:r>
            <w:r>
              <w:rPr>
                <w:rFonts w:hint="eastAsia" w:ascii="宋体" w:hAnsi="宋体" w:cs="宋体"/>
                <w:lang w:val="en-US" w:eastAsia="zh-CN"/>
              </w:rPr>
              <w:t>.</w:t>
            </w:r>
            <w:r>
              <w:rPr>
                <w:rFonts w:hint="eastAsia" w:ascii="宋体" w:hAnsi="宋体" w:cs="宋体"/>
              </w:rPr>
              <w:t>支持255个预置位，包括对水平、俯仰、变倍进行预设，即使摄像机掉电关闭后，预设数据也会被保存下来。</w:t>
            </w:r>
          </w:p>
          <w:p>
            <w:pPr>
              <w:widowControl/>
              <w:spacing w:line="240" w:lineRule="auto"/>
              <w:ind w:firstLine="0" w:firstLineChars="0"/>
              <w:jc w:val="left"/>
              <w:rPr>
                <w:rFonts w:ascii="宋体" w:hAnsi="宋体" w:cs="宋体"/>
              </w:rPr>
            </w:pPr>
            <w:r>
              <w:rPr>
                <w:rFonts w:ascii="宋体" w:hAnsi="宋体" w:cs="宋体"/>
              </w:rPr>
              <w:t>6</w:t>
            </w:r>
            <w:r>
              <w:rPr>
                <w:rFonts w:hint="eastAsia" w:ascii="宋体" w:hAnsi="宋体" w:cs="宋体"/>
                <w:lang w:val="en-US" w:eastAsia="zh-CN"/>
              </w:rPr>
              <w:t>.</w:t>
            </w:r>
            <w:r>
              <w:rPr>
                <w:rFonts w:hint="eastAsia" w:ascii="宋体" w:hAnsi="宋体" w:cs="宋体"/>
              </w:rPr>
              <w:t>支持图像翻转，支持吊顶安装。</w:t>
            </w:r>
          </w:p>
        </w:tc>
        <w:tc>
          <w:tcPr>
            <w:tcW w:w="1596" w:type="dxa"/>
            <w:vAlign w:val="center"/>
          </w:tcPr>
          <w:p>
            <w:pPr>
              <w:pStyle w:val="29"/>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739" w:type="dxa"/>
            <w:vAlign w:val="center"/>
          </w:tcPr>
          <w:p>
            <w:pPr>
              <w:pStyle w:val="29"/>
              <w:spacing w:line="240" w:lineRule="auto"/>
              <w:jc w:val="center"/>
            </w:pPr>
            <w:r>
              <w:rPr>
                <w:rFonts w:hint="eastAsia"/>
              </w:rPr>
              <w:t>麦克风</w:t>
            </w:r>
          </w:p>
        </w:tc>
        <w:tc>
          <w:tcPr>
            <w:tcW w:w="787" w:type="dxa"/>
            <w:vAlign w:val="center"/>
          </w:tcPr>
          <w:p>
            <w:pPr>
              <w:pStyle w:val="29"/>
              <w:spacing w:line="240" w:lineRule="auto"/>
              <w:jc w:val="center"/>
            </w:pPr>
            <w:r>
              <w:rPr>
                <w:rFonts w:hint="eastAsia"/>
              </w:rPr>
              <w:t>数字全向阵列麦克风</w:t>
            </w:r>
          </w:p>
        </w:tc>
        <w:tc>
          <w:tcPr>
            <w:tcW w:w="437" w:type="dxa"/>
            <w:vAlign w:val="center"/>
          </w:tcPr>
          <w:p>
            <w:pPr>
              <w:pStyle w:val="29"/>
              <w:spacing w:line="240" w:lineRule="auto"/>
              <w:jc w:val="center"/>
              <w:rPr>
                <w:rFonts w:hint="eastAsia" w:eastAsia="宋体"/>
                <w:highlight w:val="yellow"/>
                <w:lang w:eastAsia="zh-CN"/>
              </w:rPr>
            </w:pPr>
            <w:r>
              <w:rPr>
                <w:rFonts w:hint="eastAsia"/>
                <w:highlight w:val="none"/>
                <w:lang w:val="en-US" w:eastAsia="zh-CN"/>
              </w:rPr>
              <w:t>1</w:t>
            </w:r>
          </w:p>
        </w:tc>
        <w:tc>
          <w:tcPr>
            <w:tcW w:w="413" w:type="dxa"/>
            <w:vAlign w:val="center"/>
          </w:tcPr>
          <w:p>
            <w:pPr>
              <w:pStyle w:val="29"/>
              <w:spacing w:line="240" w:lineRule="auto"/>
              <w:jc w:val="center"/>
            </w:pPr>
            <w:r>
              <w:rPr>
                <w:rFonts w:hint="eastAsia"/>
              </w:rPr>
              <w:t>台</w:t>
            </w:r>
          </w:p>
        </w:tc>
        <w:tc>
          <w:tcPr>
            <w:tcW w:w="5108" w:type="dxa"/>
            <w:vAlign w:val="center"/>
          </w:tcPr>
          <w:p>
            <w:pPr>
              <w:widowControl/>
              <w:spacing w:line="240" w:lineRule="auto"/>
              <w:ind w:firstLine="0" w:firstLineChars="0"/>
              <w:jc w:val="left"/>
              <w:rPr>
                <w:rFonts w:ascii="宋体" w:hAnsi="宋体" w:cs="宋体"/>
              </w:rPr>
            </w:pPr>
            <w:r>
              <w:rPr>
                <w:rFonts w:hint="eastAsia" w:ascii="宋体" w:hAnsi="宋体" w:cs="宋体"/>
              </w:rPr>
              <w:tab/>
            </w:r>
            <w:r>
              <w:rPr>
                <w:rFonts w:hint="eastAsia" w:ascii="宋体" w:hAnsi="宋体" w:cs="宋体"/>
              </w:rPr>
              <w:t>支持360度拾音范围，48KHz 采样率,6米拾音距离。</w:t>
            </w:r>
          </w:p>
        </w:tc>
        <w:tc>
          <w:tcPr>
            <w:tcW w:w="1596" w:type="dxa"/>
            <w:vAlign w:val="center"/>
          </w:tcPr>
          <w:p>
            <w:pPr>
              <w:pStyle w:val="29"/>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739" w:type="dxa"/>
            <w:vAlign w:val="center"/>
          </w:tcPr>
          <w:p>
            <w:pPr>
              <w:pStyle w:val="29"/>
              <w:spacing w:line="240" w:lineRule="auto"/>
              <w:jc w:val="center"/>
              <w:rPr>
                <w:rFonts w:hint="eastAsia" w:eastAsia="宋体"/>
                <w:lang w:eastAsia="zh-CN"/>
              </w:rPr>
            </w:pPr>
            <w:r>
              <w:rPr>
                <w:rFonts w:hint="eastAsia"/>
                <w:lang w:eastAsia="zh-CN"/>
              </w:rPr>
              <w:t>电源管理中心</w:t>
            </w:r>
          </w:p>
        </w:tc>
        <w:tc>
          <w:tcPr>
            <w:tcW w:w="787" w:type="dxa"/>
            <w:vAlign w:val="center"/>
          </w:tcPr>
          <w:p>
            <w:pPr>
              <w:pStyle w:val="29"/>
              <w:spacing w:line="240" w:lineRule="auto"/>
              <w:jc w:val="center"/>
            </w:pPr>
            <w:r>
              <w:rPr>
                <w:rFonts w:hint="eastAsia"/>
                <w:lang w:eastAsia="zh-CN"/>
              </w:rPr>
              <w:t>电源管理中心</w:t>
            </w:r>
          </w:p>
        </w:tc>
        <w:tc>
          <w:tcPr>
            <w:tcW w:w="437" w:type="dxa"/>
            <w:vAlign w:val="center"/>
          </w:tcPr>
          <w:p>
            <w:pPr>
              <w:pStyle w:val="29"/>
              <w:spacing w:line="240" w:lineRule="auto"/>
              <w:jc w:val="center"/>
              <w:rPr>
                <w:rFonts w:hint="default" w:eastAsia="宋体"/>
                <w:highlight w:val="yellow"/>
                <w:lang w:val="en-US" w:eastAsia="zh-CN"/>
              </w:rPr>
            </w:pPr>
            <w:r>
              <w:rPr>
                <w:rFonts w:hint="eastAsia"/>
                <w:highlight w:val="none"/>
                <w:lang w:val="en-US" w:eastAsia="zh-CN"/>
              </w:rPr>
              <w:t>1</w:t>
            </w:r>
          </w:p>
        </w:tc>
        <w:tc>
          <w:tcPr>
            <w:tcW w:w="413" w:type="dxa"/>
            <w:vAlign w:val="center"/>
          </w:tcPr>
          <w:p>
            <w:pPr>
              <w:pStyle w:val="29"/>
              <w:spacing w:line="240" w:lineRule="auto"/>
              <w:jc w:val="center"/>
              <w:rPr>
                <w:rFonts w:hint="eastAsia" w:eastAsia="宋体"/>
                <w:lang w:eastAsia="zh-CN"/>
              </w:rPr>
            </w:pPr>
            <w:r>
              <w:rPr>
                <w:rFonts w:hint="eastAsia"/>
                <w:lang w:eastAsia="zh-CN"/>
              </w:rPr>
              <w:t>套</w:t>
            </w:r>
          </w:p>
        </w:tc>
        <w:tc>
          <w:tcPr>
            <w:tcW w:w="5108" w:type="dxa"/>
            <w:vAlign w:val="center"/>
          </w:tcPr>
          <w:p>
            <w:pPr>
              <w:widowControl/>
              <w:spacing w:line="240" w:lineRule="auto"/>
              <w:ind w:firstLine="0" w:firstLineChars="0"/>
              <w:jc w:val="left"/>
              <w:rPr>
                <w:rFonts w:ascii="宋体" w:hAnsi="宋体" w:cs="宋体"/>
              </w:rPr>
            </w:pPr>
            <w:r>
              <w:rPr>
                <w:rFonts w:hint="eastAsia"/>
                <w:color w:val="auto"/>
                <w:highlight w:val="none"/>
                <w:lang w:val="en-US" w:eastAsia="zh-CN"/>
              </w:rPr>
              <w:t>1.电源输入：三相五线制AC380V±10％，50Hz/60Hz。</w:t>
            </w:r>
            <w:r>
              <w:rPr>
                <w:rFonts w:hint="eastAsia"/>
                <w:color w:val="auto"/>
                <w:highlight w:val="none"/>
                <w:lang w:val="en-US" w:eastAsia="zh-CN"/>
              </w:rPr>
              <w:br w:type="textWrapping"/>
            </w:r>
            <w:r>
              <w:rPr>
                <w:rFonts w:hint="eastAsia"/>
                <w:color w:val="auto"/>
                <w:highlight w:val="none"/>
                <w:lang w:val="en-US" w:eastAsia="zh-CN"/>
              </w:rPr>
              <w:t>2.电源输出：≥11路独立输出，每路相电压AC220V±10％，每路带载≥4kW，总输出最大可带载48kW。</w:t>
            </w:r>
            <w:r>
              <w:rPr>
                <w:rFonts w:hint="eastAsia"/>
                <w:color w:val="auto"/>
                <w:highlight w:val="none"/>
                <w:lang w:val="en-US" w:eastAsia="zh-CN"/>
              </w:rPr>
              <w:br w:type="textWrapping"/>
            </w:r>
            <w:r>
              <w:rPr>
                <w:rFonts w:hint="eastAsia"/>
                <w:color w:val="auto"/>
                <w:highlight w:val="none"/>
                <w:lang w:val="en-US" w:eastAsia="zh-CN"/>
              </w:rPr>
              <w:t>3.显示：≥2.7英寸触摸显示屏，可以显示设备状态，日期时间，通道开启状态，每一路漏电、过压，过载等告警状态，可以操控设备。自带屏幕锁，防止误触，可调节屏幕亮度，适应多种光照条件。</w:t>
            </w:r>
            <w:r>
              <w:rPr>
                <w:rFonts w:hint="eastAsia"/>
                <w:color w:val="auto"/>
                <w:highlight w:val="none"/>
                <w:lang w:val="en-US" w:eastAsia="zh-CN"/>
              </w:rPr>
              <w:br w:type="textWrapping"/>
            </w:r>
            <w:r>
              <w:rPr>
                <w:rFonts w:hint="eastAsia"/>
                <w:color w:val="auto"/>
                <w:highlight w:val="none"/>
                <w:lang w:val="en-US" w:eastAsia="zh-CN"/>
              </w:rPr>
              <w:t>4.短路保护：每路输出配有液压电磁式≥19A断路器，断路器可提供过载，短路保护。</w:t>
            </w:r>
            <w:r>
              <w:rPr>
                <w:rFonts w:hint="eastAsia"/>
                <w:color w:val="auto"/>
                <w:highlight w:val="none"/>
                <w:lang w:val="en-US" w:eastAsia="zh-CN"/>
              </w:rPr>
              <w:br w:type="textWrapping"/>
            </w:r>
            <w:r>
              <w:rPr>
                <w:rFonts w:hint="eastAsia"/>
                <w:color w:val="auto"/>
                <w:highlight w:val="none"/>
                <w:lang w:val="en-US" w:eastAsia="zh-CN"/>
              </w:rPr>
              <w:t>5.一键开关：单台设备输出一键式顺序、逆序开关，也可以每路独立开关。</w:t>
            </w:r>
            <w:r>
              <w:rPr>
                <w:rFonts w:hint="eastAsia"/>
                <w:color w:val="auto"/>
                <w:highlight w:val="none"/>
                <w:lang w:val="en-US" w:eastAsia="zh-CN"/>
              </w:rPr>
              <w:br w:type="textWrapping"/>
            </w:r>
            <w:r>
              <w:rPr>
                <w:rFonts w:hint="eastAsia"/>
                <w:color w:val="auto"/>
                <w:highlight w:val="none"/>
                <w:lang w:val="en-US" w:eastAsia="zh-CN"/>
              </w:rPr>
              <w:t>6.并机运行：多台设备可以组网运行，对所有组网设备一键开关，可以保存当前所有开关状态作为场景，可保存多个场景，支持开关状态一键恢复。</w:t>
            </w:r>
            <w:r>
              <w:rPr>
                <w:rFonts w:hint="eastAsia"/>
                <w:color w:val="auto"/>
                <w:highlight w:val="none"/>
                <w:lang w:val="en-US" w:eastAsia="zh-CN"/>
              </w:rPr>
              <w:br w:type="textWrapping"/>
            </w:r>
            <w:r>
              <w:rPr>
                <w:rFonts w:hint="eastAsia"/>
                <w:color w:val="auto"/>
                <w:highlight w:val="none"/>
                <w:lang w:val="en-US" w:eastAsia="zh-CN"/>
              </w:rPr>
              <w:t>7.顺序开关：可以自定义选择任意输出通道为其自定义开关顺序，实现一键式自定义顺序开关。</w:t>
            </w:r>
            <w:r>
              <w:rPr>
                <w:rFonts w:hint="eastAsia"/>
                <w:color w:val="auto"/>
                <w:highlight w:val="none"/>
                <w:lang w:val="en-US" w:eastAsia="zh-CN"/>
              </w:rPr>
              <w:br w:type="textWrapping"/>
            </w:r>
            <w:r>
              <w:rPr>
                <w:rFonts w:hint="eastAsia"/>
                <w:color w:val="auto"/>
                <w:highlight w:val="none"/>
                <w:lang w:val="en-US" w:eastAsia="zh-CN"/>
              </w:rPr>
              <w:t>8.定时控制：可以自定义选择输出通道定时开启或关闭，可单次运行，也可以循环运行。</w:t>
            </w:r>
            <w:r>
              <w:rPr>
                <w:rFonts w:hint="eastAsia"/>
                <w:color w:val="auto"/>
                <w:highlight w:val="none"/>
                <w:lang w:val="en-US" w:eastAsia="zh-CN"/>
              </w:rPr>
              <w:br w:type="textWrapping"/>
            </w:r>
            <w:r>
              <w:rPr>
                <w:rFonts w:hint="eastAsia"/>
                <w:color w:val="auto"/>
                <w:highlight w:val="none"/>
                <w:lang w:val="en-US" w:eastAsia="zh-CN"/>
              </w:rPr>
              <w:t>9.参数监测：每路输出通道都具有电流，电压，功率，温度，开关状态，运行时长与三相平衡监测多种异常情况报警。</w:t>
            </w:r>
            <w:r>
              <w:rPr>
                <w:rFonts w:hint="eastAsia"/>
                <w:color w:val="auto"/>
                <w:highlight w:val="none"/>
                <w:lang w:val="en-US" w:eastAsia="zh-CN"/>
              </w:rPr>
              <w:br w:type="textWrapping"/>
            </w:r>
            <w:r>
              <w:rPr>
                <w:rFonts w:hint="eastAsia"/>
                <w:color w:val="auto"/>
                <w:highlight w:val="none"/>
                <w:lang w:val="en-US" w:eastAsia="zh-CN"/>
              </w:rPr>
              <w:t>10.设置：可以设置输入电压过压和欠压阈值，可以为每路输出单独设置电流、功率、温度断电阈值，超出范围报警，能够识别出没有正常工作的设备，也可以选择是否断开输出电源。</w:t>
            </w:r>
            <w:r>
              <w:rPr>
                <w:rFonts w:hint="eastAsia"/>
                <w:color w:val="auto"/>
                <w:highlight w:val="none"/>
                <w:lang w:val="en-US" w:eastAsia="zh-CN"/>
              </w:rPr>
              <w:br w:type="textWrapping"/>
            </w:r>
            <w:r>
              <w:rPr>
                <w:rFonts w:hint="eastAsia"/>
                <w:color w:val="auto"/>
                <w:highlight w:val="none"/>
                <w:lang w:val="en-US" w:eastAsia="zh-CN"/>
              </w:rPr>
              <w:t>11.对接中控：设备有凤凰端子，可以通过RS485向设备发送通讯协议控制设备通道开关。</w:t>
            </w:r>
            <w:r>
              <w:rPr>
                <w:rFonts w:hint="eastAsia"/>
                <w:color w:val="auto"/>
                <w:highlight w:val="none"/>
                <w:lang w:val="en-US" w:eastAsia="zh-CN"/>
              </w:rPr>
              <w:br w:type="textWrapping"/>
            </w:r>
            <w:r>
              <w:rPr>
                <w:rFonts w:hint="eastAsia"/>
                <w:color w:val="auto"/>
                <w:highlight w:val="none"/>
                <w:lang w:val="en-US" w:eastAsia="zh-CN"/>
              </w:rPr>
              <w:t>12.联网控制：设备具有RJ45接口，接入外网可自动分配IP接入云平台，联网后，可由手机和平板APP控制，操作简便，设备支持网络升级服务。</w:t>
            </w:r>
          </w:p>
        </w:tc>
        <w:tc>
          <w:tcPr>
            <w:tcW w:w="1596" w:type="dxa"/>
            <w:vAlign w:val="center"/>
          </w:tcPr>
          <w:p>
            <w:pPr>
              <w:pStyle w:val="29"/>
              <w:spacing w:line="240" w:lineRule="auto"/>
              <w:jc w:val="center"/>
            </w:pPr>
          </w:p>
        </w:tc>
      </w:tr>
    </w:tbl>
    <w:p>
      <w:pPr>
        <w:ind w:firstLine="420"/>
      </w:pPr>
      <w:r>
        <w:rPr>
          <w:rFonts w:hint="eastAsia"/>
        </w:rPr>
        <w:br w:type="page"/>
      </w:r>
    </w:p>
    <w:p>
      <w:pPr>
        <w:pStyle w:val="3"/>
        <w:numPr>
          <w:ilvl w:val="0"/>
          <w:numId w:val="0"/>
        </w:numPr>
      </w:pPr>
      <w:bookmarkStart w:id="16" w:name="_Toc17135"/>
      <w:bookmarkStart w:id="17" w:name="_Toc139977560"/>
      <w:r>
        <w:rPr>
          <w:rFonts w:hint="eastAsia"/>
        </w:rPr>
        <w:t>二 系统总体设计</w:t>
      </w:r>
      <w:bookmarkEnd w:id="16"/>
      <w:r>
        <w:rPr>
          <w:rFonts w:hint="eastAsia"/>
        </w:rPr>
        <w:t>设计原则</w:t>
      </w:r>
      <w:bookmarkEnd w:id="17"/>
      <w:bookmarkStart w:id="18" w:name="_Toc11221"/>
    </w:p>
    <w:p>
      <w:pPr>
        <w:pStyle w:val="5"/>
        <w:numPr>
          <w:ilvl w:val="1"/>
          <w:numId w:val="0"/>
        </w:numPr>
      </w:pPr>
      <w:bookmarkStart w:id="19" w:name="_Toc139977561"/>
      <w:r>
        <w:t>2</w:t>
      </w:r>
      <w:r>
        <w:rPr>
          <w:rFonts w:hint="eastAsia"/>
        </w:rPr>
        <w:t>.1  生命周期低投资成本原则</w:t>
      </w:r>
      <w:bookmarkEnd w:id="18"/>
      <w:bookmarkEnd w:id="19"/>
    </w:p>
    <w:p>
      <w:pPr>
        <w:pStyle w:val="30"/>
        <w:numPr>
          <w:ilvl w:val="0"/>
          <w:numId w:val="0"/>
        </w:numPr>
        <w:rPr>
          <w:rFonts w:ascii="宋体" w:hAnsi="宋体" w:cs="宋体"/>
          <w:sz w:val="24"/>
          <w:szCs w:val="24"/>
        </w:rPr>
      </w:pPr>
      <w:r>
        <w:rPr>
          <w:rFonts w:hint="eastAsia" w:ascii="宋体" w:hAnsi="宋体" w:cs="宋体"/>
          <w:sz w:val="24"/>
          <w:szCs w:val="24"/>
        </w:rPr>
        <w:t>（1）系统当前投资成本低，性价比高；</w:t>
      </w:r>
    </w:p>
    <w:p>
      <w:pPr>
        <w:pStyle w:val="30"/>
        <w:numPr>
          <w:ilvl w:val="0"/>
          <w:numId w:val="0"/>
        </w:numPr>
        <w:rPr>
          <w:rFonts w:ascii="宋体" w:hAnsi="宋体" w:cs="宋体"/>
          <w:sz w:val="24"/>
          <w:szCs w:val="24"/>
        </w:rPr>
      </w:pPr>
      <w:r>
        <w:rPr>
          <w:rFonts w:hint="eastAsia" w:ascii="宋体" w:hAnsi="宋体" w:cs="宋体"/>
          <w:sz w:val="24"/>
          <w:szCs w:val="24"/>
        </w:rPr>
        <w:t>（2）系统在生命周期中，持续升级成本低；</w:t>
      </w:r>
    </w:p>
    <w:p>
      <w:pPr>
        <w:pStyle w:val="30"/>
        <w:numPr>
          <w:ilvl w:val="0"/>
          <w:numId w:val="0"/>
        </w:numPr>
        <w:rPr>
          <w:rFonts w:ascii="宋体" w:hAnsi="宋体" w:cs="宋体"/>
          <w:sz w:val="24"/>
          <w:szCs w:val="24"/>
        </w:rPr>
      </w:pPr>
      <w:r>
        <w:rPr>
          <w:rFonts w:hint="eastAsia" w:ascii="宋体" w:hAnsi="宋体" w:cs="宋体"/>
          <w:sz w:val="24"/>
          <w:szCs w:val="24"/>
        </w:rPr>
        <w:t>（3）系统生命周期维护成本低；</w:t>
      </w:r>
    </w:p>
    <w:p>
      <w:pPr>
        <w:pStyle w:val="5"/>
        <w:numPr>
          <w:ilvl w:val="1"/>
          <w:numId w:val="0"/>
        </w:numPr>
      </w:pPr>
      <w:bookmarkStart w:id="20" w:name="_Toc139977562"/>
      <w:bookmarkStart w:id="21" w:name="_Toc1901"/>
      <w:r>
        <w:t>2</w:t>
      </w:r>
      <w:r>
        <w:rPr>
          <w:rFonts w:hint="eastAsia"/>
        </w:rPr>
        <w:t>.2  持续先进性原则</w:t>
      </w:r>
      <w:bookmarkEnd w:id="20"/>
      <w:bookmarkEnd w:id="21"/>
    </w:p>
    <w:p>
      <w:pPr>
        <w:pStyle w:val="30"/>
        <w:numPr>
          <w:ilvl w:val="0"/>
          <w:numId w:val="0"/>
        </w:numPr>
        <w:rPr>
          <w:rFonts w:ascii="宋体" w:hAnsi="宋体" w:cs="宋体"/>
          <w:sz w:val="24"/>
          <w:szCs w:val="24"/>
        </w:rPr>
      </w:pPr>
      <w:r>
        <w:rPr>
          <w:rFonts w:hint="eastAsia" w:ascii="宋体" w:hAnsi="宋体" w:cs="宋体"/>
          <w:sz w:val="24"/>
          <w:szCs w:val="24"/>
        </w:rPr>
        <w:t>（1）系统必须严格遵循国际标准、国家标准和国内通信行业的规范要求；</w:t>
      </w:r>
    </w:p>
    <w:p>
      <w:pPr>
        <w:pStyle w:val="30"/>
        <w:numPr>
          <w:ilvl w:val="0"/>
          <w:numId w:val="0"/>
        </w:numPr>
        <w:rPr>
          <w:rFonts w:ascii="宋体" w:hAnsi="宋体" w:cs="宋体"/>
          <w:sz w:val="24"/>
          <w:szCs w:val="24"/>
        </w:rPr>
      </w:pPr>
      <w:r>
        <w:rPr>
          <w:rFonts w:hint="eastAsia" w:ascii="宋体" w:hAnsi="宋体" w:cs="宋体"/>
          <w:sz w:val="24"/>
          <w:szCs w:val="24"/>
        </w:rPr>
        <w:t>（2）所有的系统采用当前最先进的技术，确保今后相当长的时间内技术上不会落伍；</w:t>
      </w:r>
    </w:p>
    <w:p>
      <w:pPr>
        <w:pStyle w:val="30"/>
        <w:numPr>
          <w:ilvl w:val="0"/>
          <w:numId w:val="0"/>
        </w:numPr>
        <w:rPr>
          <w:rFonts w:ascii="宋体" w:hAnsi="宋体" w:cs="宋体"/>
          <w:sz w:val="24"/>
          <w:szCs w:val="24"/>
        </w:rPr>
      </w:pPr>
      <w:r>
        <w:rPr>
          <w:rFonts w:hint="eastAsia" w:ascii="宋体" w:hAnsi="宋体" w:cs="宋体"/>
          <w:sz w:val="24"/>
          <w:szCs w:val="24"/>
        </w:rPr>
        <w:t>（3）系统可以通过模块平滑升级，同步技术发展，持续支持先进的技术，保证系统的持续先进性。</w:t>
      </w:r>
    </w:p>
    <w:p>
      <w:pPr>
        <w:pStyle w:val="5"/>
        <w:numPr>
          <w:ilvl w:val="1"/>
          <w:numId w:val="0"/>
        </w:numPr>
      </w:pPr>
      <w:bookmarkStart w:id="22" w:name="_Toc139977563"/>
      <w:bookmarkStart w:id="23" w:name="_Toc25437"/>
      <w:r>
        <w:t>2</w:t>
      </w:r>
      <w:r>
        <w:rPr>
          <w:rFonts w:hint="eastAsia"/>
        </w:rPr>
        <w:t>.3 可靠性原则</w:t>
      </w:r>
      <w:bookmarkEnd w:id="22"/>
      <w:bookmarkEnd w:id="23"/>
    </w:p>
    <w:p>
      <w:pPr>
        <w:pStyle w:val="30"/>
        <w:numPr>
          <w:ilvl w:val="0"/>
          <w:numId w:val="0"/>
        </w:numPr>
        <w:rPr>
          <w:rFonts w:ascii="宋体" w:hAnsi="宋体" w:cs="宋体"/>
          <w:sz w:val="24"/>
          <w:szCs w:val="24"/>
        </w:rPr>
      </w:pPr>
      <w:r>
        <w:rPr>
          <w:rFonts w:hint="eastAsia" w:ascii="宋体" w:hAnsi="宋体" w:cs="宋体"/>
          <w:sz w:val="24"/>
          <w:szCs w:val="24"/>
        </w:rPr>
        <w:t>（1）系统可以实现端到端的全业务备份，单台设备的故障不影响整体业务；</w:t>
      </w:r>
    </w:p>
    <w:p>
      <w:pPr>
        <w:pStyle w:val="30"/>
        <w:numPr>
          <w:ilvl w:val="0"/>
          <w:numId w:val="0"/>
        </w:numPr>
        <w:rPr>
          <w:rFonts w:ascii="宋体" w:hAnsi="宋体" w:cs="宋体"/>
          <w:sz w:val="24"/>
          <w:szCs w:val="24"/>
        </w:rPr>
      </w:pPr>
      <w:r>
        <w:rPr>
          <w:rFonts w:hint="eastAsia" w:ascii="宋体" w:hAnsi="宋体" w:cs="宋体"/>
          <w:sz w:val="24"/>
          <w:szCs w:val="24"/>
        </w:rPr>
        <w:t>（2）确保系统具有高度的安全性，不易感染软件病毒；</w:t>
      </w:r>
    </w:p>
    <w:p>
      <w:pPr>
        <w:pStyle w:val="30"/>
        <w:numPr>
          <w:ilvl w:val="0"/>
          <w:numId w:val="0"/>
        </w:numPr>
        <w:rPr>
          <w:rFonts w:ascii="宋体" w:hAnsi="宋体" w:cs="宋体"/>
          <w:sz w:val="24"/>
          <w:szCs w:val="24"/>
        </w:rPr>
      </w:pPr>
      <w:r>
        <w:rPr>
          <w:rFonts w:hint="eastAsia" w:ascii="宋体" w:hAnsi="宋体" w:cs="宋体"/>
          <w:sz w:val="24"/>
          <w:szCs w:val="24"/>
        </w:rPr>
        <w:t>（3）对工作环境要求较低，环境适应能力要强；</w:t>
      </w:r>
    </w:p>
    <w:p>
      <w:pPr>
        <w:pStyle w:val="30"/>
        <w:numPr>
          <w:ilvl w:val="0"/>
          <w:numId w:val="0"/>
        </w:numPr>
        <w:rPr>
          <w:rFonts w:ascii="宋体" w:hAnsi="宋体" w:cs="宋体"/>
          <w:sz w:val="24"/>
          <w:szCs w:val="24"/>
        </w:rPr>
      </w:pPr>
      <w:r>
        <w:rPr>
          <w:rFonts w:hint="eastAsia" w:ascii="宋体" w:hAnsi="宋体" w:cs="宋体"/>
          <w:sz w:val="24"/>
          <w:szCs w:val="24"/>
        </w:rPr>
        <w:t>（4）系统设备安装使用简单，无需专业人员维护；</w:t>
      </w:r>
    </w:p>
    <w:p>
      <w:pPr>
        <w:pStyle w:val="30"/>
        <w:numPr>
          <w:ilvl w:val="0"/>
          <w:numId w:val="0"/>
        </w:numPr>
        <w:rPr>
          <w:rFonts w:ascii="宋体" w:hAnsi="宋体" w:cs="宋体"/>
          <w:sz w:val="24"/>
          <w:szCs w:val="24"/>
        </w:rPr>
      </w:pPr>
      <w:r>
        <w:rPr>
          <w:rFonts w:hint="eastAsia" w:ascii="宋体" w:hAnsi="宋体" w:cs="宋体"/>
          <w:sz w:val="24"/>
          <w:szCs w:val="24"/>
        </w:rPr>
        <w:t>（5）系统需要满足7×24小时稳定运行。</w:t>
      </w:r>
    </w:p>
    <w:p>
      <w:pPr>
        <w:pStyle w:val="5"/>
        <w:numPr>
          <w:ilvl w:val="1"/>
          <w:numId w:val="0"/>
        </w:numPr>
      </w:pPr>
      <w:bookmarkStart w:id="24" w:name="_Toc139977564"/>
      <w:bookmarkStart w:id="25" w:name="_Toc21"/>
      <w:r>
        <w:t>2</w:t>
      </w:r>
      <w:r>
        <w:rPr>
          <w:rFonts w:hint="eastAsia"/>
        </w:rPr>
        <w:t>.4 标准化和兼容性原则</w:t>
      </w:r>
      <w:bookmarkEnd w:id="24"/>
      <w:bookmarkEnd w:id="25"/>
    </w:p>
    <w:p>
      <w:pPr>
        <w:pStyle w:val="30"/>
        <w:numPr>
          <w:ilvl w:val="0"/>
          <w:numId w:val="0"/>
        </w:numPr>
        <w:rPr>
          <w:rFonts w:ascii="宋体" w:hAnsi="宋体" w:cs="宋体"/>
          <w:sz w:val="24"/>
          <w:szCs w:val="24"/>
        </w:rPr>
      </w:pPr>
      <w:r>
        <w:rPr>
          <w:rFonts w:hint="eastAsia" w:ascii="宋体" w:hAnsi="宋体" w:cs="宋体"/>
          <w:sz w:val="24"/>
          <w:szCs w:val="24"/>
        </w:rPr>
        <w:t>（1）必须完全符合H.323标准框架协议；必须采用业界标准的视音频编解码协议；</w:t>
      </w:r>
    </w:p>
    <w:p>
      <w:pPr>
        <w:pStyle w:val="30"/>
        <w:numPr>
          <w:ilvl w:val="0"/>
          <w:numId w:val="0"/>
        </w:numPr>
        <w:rPr>
          <w:rFonts w:ascii="宋体" w:hAnsi="宋体" w:cs="宋体"/>
          <w:sz w:val="24"/>
          <w:szCs w:val="24"/>
        </w:rPr>
      </w:pPr>
      <w:r>
        <w:rPr>
          <w:rFonts w:hint="eastAsia" w:ascii="宋体" w:hAnsi="宋体" w:cs="宋体"/>
          <w:sz w:val="24"/>
          <w:szCs w:val="24"/>
        </w:rPr>
        <w:t>（2）必须采用开放式标准设计，兼容标准的视讯系统和设备，确保可与其他厂家标准的产品有效互通；</w:t>
      </w:r>
    </w:p>
    <w:p>
      <w:pPr>
        <w:pStyle w:val="30"/>
        <w:numPr>
          <w:ilvl w:val="0"/>
          <w:numId w:val="0"/>
        </w:numPr>
        <w:rPr>
          <w:rFonts w:ascii="宋体" w:hAnsi="宋体" w:cs="宋体"/>
          <w:sz w:val="24"/>
          <w:szCs w:val="24"/>
        </w:rPr>
      </w:pPr>
      <w:r>
        <w:rPr>
          <w:rFonts w:hint="eastAsia" w:ascii="宋体" w:hAnsi="宋体" w:cs="宋体"/>
          <w:sz w:val="24"/>
          <w:szCs w:val="24"/>
        </w:rPr>
        <w:t>（3）系统具有很好的可扩充性，满足今后的发展，留有充分的扩容和扩展能力。</w:t>
      </w:r>
    </w:p>
    <w:p>
      <w:pPr>
        <w:pStyle w:val="2"/>
        <w:ind w:firstLine="480"/>
        <w:jc w:val="center"/>
      </w:pPr>
    </w:p>
    <w:p>
      <w:pPr>
        <w:pStyle w:val="2"/>
        <w:ind w:firstLine="480"/>
        <w:jc w:val="center"/>
      </w:pPr>
    </w:p>
    <w:p>
      <w:pPr>
        <w:pStyle w:val="2"/>
        <w:ind w:firstLine="480"/>
        <w:jc w:val="center"/>
      </w:pPr>
    </w:p>
    <w:sectPr>
      <w:headerReference r:id="rId11" w:type="default"/>
      <w:footerReference r:id="rId12" w:type="default"/>
      <w:pgSz w:w="11906" w:h="16838"/>
      <w:pgMar w:top="1440" w:right="1080" w:bottom="1440" w:left="1080" w:header="109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TimesNewRomanPSMT">
    <w:altName w:val="微软雅黑"/>
    <w:panose1 w:val="020B0604020202020204"/>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Dotum">
    <w:panose1 w:val="020B0600000101010101"/>
    <w:charset w:val="81"/>
    <w:family w:val="swiss"/>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pPr w:leftFromText="180" w:rightFromText="180" w:vertAnchor="page" w:horzAnchor="page" w:tblpX="1243" w:tblpY="15469"/>
      <w:tblOverlap w:val="never"/>
      <w:tblW w:w="5888" w:type="dxa"/>
      <w:tblInd w:w="0" w:type="dxa"/>
      <w:tblLayout w:type="fixed"/>
      <w:tblCellMar>
        <w:top w:w="0" w:type="dxa"/>
        <w:left w:w="108" w:type="dxa"/>
        <w:bottom w:w="0" w:type="dxa"/>
        <w:right w:w="108" w:type="dxa"/>
      </w:tblCellMar>
    </w:tblPr>
    <w:tblGrid>
      <w:gridCol w:w="2781"/>
      <w:gridCol w:w="3107"/>
    </w:tblGrid>
    <w:tr>
      <w:tblPrEx>
        <w:tblCellMar>
          <w:top w:w="0" w:type="dxa"/>
          <w:left w:w="108" w:type="dxa"/>
          <w:bottom w:w="0" w:type="dxa"/>
          <w:right w:w="108" w:type="dxa"/>
        </w:tblCellMar>
      </w:tblPrEx>
      <w:trPr>
        <w:trHeight w:val="326" w:hRule="atLeast"/>
      </w:trPr>
      <w:tc>
        <w:tcPr>
          <w:tcW w:w="2781" w:type="dxa"/>
          <w:tcBorders>
            <w:tl2br w:val="nil"/>
            <w:tr2bl w:val="nil"/>
          </w:tcBorders>
        </w:tcPr>
        <w:p>
          <w:pPr>
            <w:pStyle w:val="16"/>
            <w:ind w:firstLine="360"/>
          </w:pPr>
        </w:p>
      </w:tc>
      <w:tc>
        <w:tcPr>
          <w:tcW w:w="3107" w:type="dxa"/>
          <w:tcBorders>
            <w:tl2br w:val="nil"/>
            <w:tr2bl w:val="nil"/>
          </w:tcBorders>
        </w:tcPr>
        <w:p>
          <w:pPr>
            <w:pStyle w:val="16"/>
            <w:ind w:firstLine="360"/>
            <w:jc w:val="center"/>
          </w:pPr>
          <w:r>
            <w:rPr>
              <w:rFonts w:hint="eastAsia"/>
            </w:rPr>
            <w:t>第</w:t>
          </w:r>
          <w:r>
            <w:fldChar w:fldCharType="begin"/>
          </w:r>
          <w:r>
            <w:instrText xml:space="preserve">PAGE</w:instrText>
          </w:r>
          <w:r>
            <w:fldChar w:fldCharType="separate"/>
          </w:r>
          <w:r>
            <w:t>21</w:t>
          </w:r>
          <w:r>
            <w:fldChar w:fldCharType="end"/>
          </w:r>
          <w:r>
            <w:rPr>
              <w:rFonts w:hint="eastAsia"/>
            </w:rPr>
            <w:t>页</w:t>
          </w:r>
          <w:r>
            <w:t>,</w:t>
          </w:r>
          <w:r>
            <w:rPr>
              <w:rFonts w:hint="eastAsia"/>
            </w:rPr>
            <w:t>共</w:t>
          </w:r>
          <w:r>
            <w:fldChar w:fldCharType="begin"/>
          </w:r>
          <w:r>
            <w:instrText xml:space="preserve"> NUMPAGES  \* Arabic  \* MERGEFORMAT </w:instrText>
          </w:r>
          <w:r>
            <w:fldChar w:fldCharType="separate"/>
          </w:r>
          <w:r>
            <w:t>137</w:t>
          </w:r>
          <w:r>
            <w:fldChar w:fldCharType="end"/>
          </w:r>
          <w:r>
            <w:rPr>
              <w:rFonts w:hint="eastAsia"/>
            </w:rPr>
            <w:t>页</w:t>
          </w:r>
        </w:p>
      </w:tc>
    </w:tr>
  </w:tbl>
  <w:p>
    <w:pPr>
      <w:pStyle w:val="1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pPr w:leftFromText="180" w:rightFromText="180" w:vertAnchor="page" w:horzAnchor="page" w:tblpX="1141" w:tblpY="1088"/>
      <w:tblOverlap w:val="never"/>
      <w:tblW w:w="9799" w:type="dxa"/>
      <w:tblInd w:w="0" w:type="dxa"/>
      <w:tblLayout w:type="fixed"/>
      <w:tblCellMar>
        <w:top w:w="0" w:type="dxa"/>
        <w:left w:w="57" w:type="dxa"/>
        <w:bottom w:w="0" w:type="dxa"/>
        <w:right w:w="57" w:type="dxa"/>
      </w:tblCellMar>
    </w:tblPr>
    <w:tblGrid>
      <w:gridCol w:w="2162"/>
      <w:gridCol w:w="4305"/>
      <w:gridCol w:w="3332"/>
    </w:tblGrid>
    <w:tr>
      <w:tblPrEx>
        <w:tblCellMar>
          <w:top w:w="0" w:type="dxa"/>
          <w:left w:w="57" w:type="dxa"/>
          <w:bottom w:w="0" w:type="dxa"/>
          <w:right w:w="57" w:type="dxa"/>
        </w:tblCellMar>
      </w:tblPrEx>
      <w:trPr>
        <w:cantSplit/>
        <w:trHeight w:val="343" w:hRule="exact"/>
      </w:trPr>
      <w:tc>
        <w:tcPr>
          <w:tcW w:w="2162" w:type="dxa"/>
          <w:tcBorders>
            <w:tl2br w:val="nil"/>
            <w:tr2bl w:val="nil"/>
          </w:tcBorders>
          <w:vAlign w:val="bottom"/>
        </w:tcPr>
        <w:p>
          <w:pPr>
            <w:ind w:firstLine="0" w:firstLineChars="0"/>
            <w:rPr>
              <w:rFonts w:ascii="Dotum" w:hAnsi="Dotum" w:eastAsia="Dotum"/>
            </w:rPr>
          </w:pPr>
        </w:p>
      </w:tc>
      <w:tc>
        <w:tcPr>
          <w:tcW w:w="4305" w:type="dxa"/>
          <w:tcBorders>
            <w:tl2br w:val="nil"/>
            <w:tr2bl w:val="nil"/>
          </w:tcBorders>
          <w:vAlign w:val="bottom"/>
        </w:tcPr>
        <w:p>
          <w:pPr>
            <w:pStyle w:val="17"/>
            <w:ind w:firstLine="0" w:firstLineChars="0"/>
            <w:rPr>
              <w:rFonts w:ascii="Dotum" w:hAnsi="Dotum" w:eastAsia="Dotum"/>
            </w:rPr>
          </w:pPr>
        </w:p>
      </w:tc>
      <w:tc>
        <w:tcPr>
          <w:tcW w:w="3332" w:type="dxa"/>
          <w:tcBorders>
            <w:tl2br w:val="nil"/>
            <w:tr2bl w:val="nil"/>
          </w:tcBorders>
          <w:vAlign w:val="bottom"/>
        </w:tcPr>
        <w:p>
          <w:pPr>
            <w:pStyle w:val="17"/>
            <w:ind w:firstLine="360"/>
            <w:jc w:val="right"/>
            <w:rPr>
              <w:rFonts w:ascii="Dotum" w:hAnsi="Dotum"/>
            </w:rPr>
          </w:pPr>
        </w:p>
      </w:tc>
    </w:tr>
  </w:tbl>
  <w:p>
    <w:pPr>
      <w:pStyle w:val="1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17E045"/>
    <w:multiLevelType w:val="multilevel"/>
    <w:tmpl w:val="0217E045"/>
    <w:lvl w:ilvl="0" w:tentative="0">
      <w:start w:val="1"/>
      <w:numFmt w:val="decimal"/>
      <w:pStyle w:val="3"/>
      <w:lvlText w:val="%1"/>
      <w:lvlJc w:val="left"/>
      <w:rPr>
        <w:rFonts w:hint="default"/>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14:ligatures w14:val="none"/>
        <w14:numForm w14:val="default"/>
        <w14:numSpacing w14:val="default"/>
      </w:rPr>
    </w:lvl>
    <w:lvl w:ilvl="1" w:tentative="0">
      <w:start w:val="1"/>
      <w:numFmt w:val="decimal"/>
      <w:pStyle w:val="5"/>
      <w:lvlText w:val="%1.%2"/>
      <w:lvlJc w:val="left"/>
      <w:pPr>
        <w:tabs>
          <w:tab w:val="left" w:pos="562"/>
        </w:tabs>
        <w:ind w:left="3365" w:hanging="425"/>
      </w:pPr>
      <w:rPr>
        <w:rFonts w:hint="default"/>
      </w:rPr>
    </w:lvl>
    <w:lvl w:ilvl="2" w:tentative="0">
      <w:start w:val="1"/>
      <w:numFmt w:val="decimal"/>
      <w:pStyle w:val="6"/>
      <w:lvlText w:val="%1.%2.%3"/>
      <w:lvlJc w:val="left"/>
      <w:pPr>
        <w:tabs>
          <w:tab w:val="left" w:pos="685"/>
        </w:tabs>
        <w:ind w:left="425" w:hanging="425"/>
      </w:pPr>
      <w:rPr>
        <w:rFonts w:hint="default"/>
      </w:rPr>
    </w:lvl>
    <w:lvl w:ilvl="3" w:tentative="0">
      <w:start w:val="1"/>
      <w:numFmt w:val="decimal"/>
      <w:pStyle w:val="7"/>
      <w:suff w:val="space"/>
      <w:lvlText w:val="%1.%2.%3.%4"/>
      <w:lvlJc w:val="left"/>
      <w:pPr>
        <w:ind w:left="425" w:hanging="425"/>
      </w:pPr>
      <w:rPr>
        <w:rFonts w:hint="eastAsia"/>
      </w:rPr>
    </w:lvl>
    <w:lvl w:ilvl="4" w:tentative="0">
      <w:start w:val="1"/>
      <w:numFmt w:val="decimal"/>
      <w:pStyle w:val="8"/>
      <w:suff w:val="space"/>
      <w:lvlText w:val="%1.%2.%3.%4.%5"/>
      <w:lvlJc w:val="left"/>
      <w:pPr>
        <w:tabs>
          <w:tab w:val="left" w:pos="0"/>
        </w:tabs>
        <w:ind w:left="425" w:hanging="425"/>
      </w:pPr>
      <w:rPr>
        <w:rFonts w:hint="default"/>
      </w:rPr>
    </w:lvl>
    <w:lvl w:ilvl="5" w:tentative="0">
      <w:start w:val="1"/>
      <w:numFmt w:val="decimal"/>
      <w:pStyle w:val="9"/>
      <w:suff w:val="space"/>
      <w:lvlText w:val="%1.%2.%3.%4.%5.%6"/>
      <w:lvlJc w:val="left"/>
      <w:pPr>
        <w:ind w:left="425" w:hanging="425"/>
      </w:pPr>
      <w:rPr>
        <w:rFonts w:hint="eastAsia"/>
      </w:rPr>
    </w:lvl>
    <w:lvl w:ilvl="6" w:tentative="0">
      <w:start w:val="1"/>
      <w:numFmt w:val="decimal"/>
      <w:pStyle w:val="10"/>
      <w:suff w:val="space"/>
      <w:lvlText w:val="%1.%2.%3.%4.%5.%6.%7"/>
      <w:lvlJc w:val="left"/>
      <w:pPr>
        <w:ind w:left="425" w:hanging="425"/>
      </w:pPr>
      <w:rPr>
        <w:rFonts w:hint="eastAsia"/>
      </w:rPr>
    </w:lvl>
    <w:lvl w:ilvl="7" w:tentative="0">
      <w:start w:val="1"/>
      <w:numFmt w:val="decimal"/>
      <w:pStyle w:val="11"/>
      <w:suff w:val="space"/>
      <w:lvlText w:val="%1.%2.%3.%4.%5.%6.%7.%8"/>
      <w:lvlJc w:val="left"/>
      <w:pPr>
        <w:ind w:left="425" w:hanging="425"/>
      </w:pPr>
      <w:rPr>
        <w:rFonts w:hint="eastAsia"/>
      </w:rPr>
    </w:lvl>
    <w:lvl w:ilvl="8" w:tentative="0">
      <w:start w:val="1"/>
      <w:numFmt w:val="decimal"/>
      <w:pStyle w:val="12"/>
      <w:suff w:val="space"/>
      <w:lvlText w:val="%1.%2.%3.%4.%5.%6.%7.%8.%9"/>
      <w:lvlJc w:val="left"/>
      <w:pPr>
        <w:ind w:left="425" w:hanging="425"/>
      </w:pPr>
      <w:rPr>
        <w:rFonts w:hint="eastAsia"/>
      </w:rPr>
    </w:lvl>
  </w:abstractNum>
  <w:abstractNum w:abstractNumId="1">
    <w:nsid w:val="08C35ADC"/>
    <w:multiLevelType w:val="multilevel"/>
    <w:tmpl w:val="08C35ADC"/>
    <w:lvl w:ilvl="0" w:tentative="0">
      <w:start w:val="1"/>
      <w:numFmt w:val="decimal"/>
      <w:pStyle w:val="32"/>
      <w:lvlText w:val="表%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AD22467"/>
    <w:multiLevelType w:val="multilevel"/>
    <w:tmpl w:val="1AD22467"/>
    <w:lvl w:ilvl="0" w:tentative="0">
      <w:start w:val="1"/>
      <w:numFmt w:val="bullet"/>
      <w:pStyle w:val="34"/>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203C4846"/>
    <w:multiLevelType w:val="multilevel"/>
    <w:tmpl w:val="203C4846"/>
    <w:lvl w:ilvl="0" w:tentative="0">
      <w:start w:val="1"/>
      <w:numFmt w:val="chineseCountingThousand"/>
      <w:pStyle w:val="49"/>
      <w:lvlText w:val="第%1章"/>
      <w:lvlJc w:val="center"/>
      <w:pPr>
        <w:ind w:left="425" w:hanging="137"/>
      </w:pPr>
      <w:rPr>
        <w:rFonts w:hint="eastAsia"/>
        <w:b w:val="0"/>
        <w:bCs w:val="0"/>
        <w:i w:val="0"/>
        <w:iCs w:val="0"/>
        <w:caps w:val="0"/>
        <w:smallCaps w:val="0"/>
        <w:strike w:val="0"/>
        <w:dstrike w:val="0"/>
        <w:vanish w:val="0"/>
        <w:color w:val="000000"/>
        <w:spacing w:val="0"/>
        <w:position w:val="0"/>
        <w:u w:val="none"/>
        <w:vertAlign w:val="baseline"/>
      </w:rPr>
    </w:lvl>
    <w:lvl w:ilvl="1" w:tentative="0">
      <w:start w:val="1"/>
      <w:numFmt w:val="decimal"/>
      <w:isLgl/>
      <w:lvlText w:val="%1.%2"/>
      <w:lvlJc w:val="left"/>
      <w:pPr>
        <w:ind w:left="567" w:hanging="567"/>
      </w:pPr>
      <w:rPr>
        <w:rFonts w:hint="default"/>
      </w:rPr>
    </w:lvl>
    <w:lvl w:ilvl="2" w:tentative="0">
      <w:start w:val="1"/>
      <w:numFmt w:val="decimal"/>
      <w:isLgl/>
      <w:lvlText w:val="%1.%2.%3"/>
      <w:lvlJc w:val="left"/>
      <w:pPr>
        <w:ind w:left="567" w:hanging="425"/>
      </w:pPr>
      <w:rPr>
        <w:rFonts w:hint="default" w:eastAsia="宋体" w:asciiTheme="minorEastAsia" w:hAnsiTheme="minorEastAsia"/>
      </w:rPr>
    </w:lvl>
    <w:lvl w:ilvl="3" w:tentative="0">
      <w:start w:val="1"/>
      <w:numFmt w:val="decimal"/>
      <w:isLgl/>
      <w:lvlText w:val="%1.%2.%3.%4"/>
      <w:lvlJc w:val="left"/>
      <w:pPr>
        <w:ind w:left="567" w:hanging="283"/>
      </w:pPr>
      <w:rPr>
        <w:rFonts w:hint="default"/>
      </w:rPr>
    </w:lvl>
    <w:lvl w:ilvl="4" w:tentative="0">
      <w:start w:val="1"/>
      <w:numFmt w:val="decimal"/>
      <w:isLgl/>
      <w:lvlText w:val="%1.%2.%3.%4.%5"/>
      <w:lvlJc w:val="left"/>
      <w:pPr>
        <w:ind w:left="567" w:hanging="142"/>
      </w:pPr>
      <w:rPr>
        <w:rFonts w:hint="default"/>
      </w:rPr>
    </w:lvl>
    <w:lvl w:ilvl="5" w:tentative="0">
      <w:start w:val="1"/>
      <w:numFmt w:val="decimal"/>
      <w:isLgl/>
      <w:lvlText w:val="%1.%2.%3.%4.%5.%6"/>
      <w:lvlJc w:val="left"/>
      <w:pPr>
        <w:ind w:left="567" w:firstLine="0"/>
      </w:pPr>
      <w:rPr>
        <w:rFonts w:hint="default"/>
        <w:color w:val="auto"/>
      </w:rPr>
    </w:lvl>
    <w:lvl w:ilvl="6" w:tentative="0">
      <w:start w:val="1"/>
      <w:numFmt w:val="decimal"/>
      <w:isLgl/>
      <w:lvlText w:val="%1.%2.%3.%4.%5.%6.%7"/>
      <w:lvlJc w:val="left"/>
      <w:pPr>
        <w:ind w:left="567" w:firstLine="142"/>
      </w:pPr>
      <w:rPr>
        <w:rFonts w:hint="default"/>
      </w:rPr>
    </w:lvl>
    <w:lvl w:ilvl="7" w:tentative="0">
      <w:start w:val="1"/>
      <w:numFmt w:val="decimal"/>
      <w:isLgl/>
      <w:lvlText w:val="%1.%2.%3.%4.%5.%6.%7.%8"/>
      <w:lvlJc w:val="left"/>
      <w:pPr>
        <w:ind w:left="1418" w:hanging="1418"/>
      </w:pPr>
      <w:rPr>
        <w:rFonts w:hint="default"/>
      </w:rPr>
    </w:lvl>
    <w:lvl w:ilvl="8" w:tentative="0">
      <w:start w:val="1"/>
      <w:numFmt w:val="decimal"/>
      <w:isLgl/>
      <w:lvlText w:val="%1.%2.%3.%4.%5.%6.%7.%8.%9"/>
      <w:lvlJc w:val="left"/>
      <w:pPr>
        <w:ind w:left="1559" w:hanging="1559"/>
      </w:pPr>
      <w:rPr>
        <w:rFonts w:hint="default"/>
      </w:rPr>
    </w:lvl>
  </w:abstractNum>
  <w:abstractNum w:abstractNumId="4">
    <w:nsid w:val="2E6B6808"/>
    <w:multiLevelType w:val="multilevel"/>
    <w:tmpl w:val="2E6B6808"/>
    <w:lvl w:ilvl="0" w:tentative="0">
      <w:start w:val="1"/>
      <w:numFmt w:val="decimal"/>
      <w:pStyle w:val="33"/>
      <w:lvlText w:val="图%1"/>
      <w:lvlJc w:val="left"/>
      <w:pPr>
        <w:ind w:left="420" w:hanging="420"/>
      </w:pPr>
      <w:rPr>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B621D21"/>
    <w:multiLevelType w:val="multilevel"/>
    <w:tmpl w:val="6B621D21"/>
    <w:lvl w:ilvl="0" w:tentative="0">
      <w:start w:val="1"/>
      <w:numFmt w:val="bullet"/>
      <w:pStyle w:val="30"/>
      <w:lvlText w:val=""/>
      <w:lvlJc w:val="left"/>
      <w:pPr>
        <w:ind w:left="518" w:firstLine="112"/>
      </w:pPr>
      <w:rPr>
        <w:rFonts w:hint="default" w:ascii="Wingdings" w:hAnsi="Wingdings"/>
      </w:rPr>
    </w:lvl>
    <w:lvl w:ilvl="1" w:tentative="0">
      <w:start w:val="1"/>
      <w:numFmt w:val="bullet"/>
      <w:lvlText w:val=""/>
      <w:lvlJc w:val="left"/>
      <w:pPr>
        <w:ind w:left="1262" w:hanging="420"/>
      </w:pPr>
      <w:rPr>
        <w:rFonts w:hint="default" w:ascii="Wingdings" w:hAnsi="Wingdings"/>
      </w:rPr>
    </w:lvl>
    <w:lvl w:ilvl="2" w:tentative="0">
      <w:start w:val="1"/>
      <w:numFmt w:val="bullet"/>
      <w:lvlText w:val=""/>
      <w:lvlJc w:val="left"/>
      <w:pPr>
        <w:ind w:left="1682" w:hanging="420"/>
      </w:pPr>
      <w:rPr>
        <w:rFonts w:hint="default" w:ascii="Wingdings" w:hAnsi="Wingdings"/>
      </w:rPr>
    </w:lvl>
    <w:lvl w:ilvl="3" w:tentative="0">
      <w:start w:val="1"/>
      <w:numFmt w:val="bullet"/>
      <w:lvlText w:val=""/>
      <w:lvlJc w:val="left"/>
      <w:pPr>
        <w:ind w:left="2102" w:hanging="420"/>
      </w:pPr>
      <w:rPr>
        <w:rFonts w:hint="default" w:ascii="Wingdings" w:hAnsi="Wingdings"/>
      </w:rPr>
    </w:lvl>
    <w:lvl w:ilvl="4" w:tentative="0">
      <w:start w:val="1"/>
      <w:numFmt w:val="bullet"/>
      <w:lvlText w:val=""/>
      <w:lvlJc w:val="left"/>
      <w:pPr>
        <w:ind w:left="2522" w:hanging="420"/>
      </w:pPr>
      <w:rPr>
        <w:rFonts w:hint="default" w:ascii="Wingdings" w:hAnsi="Wingdings"/>
      </w:rPr>
    </w:lvl>
    <w:lvl w:ilvl="5" w:tentative="0">
      <w:start w:val="1"/>
      <w:numFmt w:val="bullet"/>
      <w:lvlText w:val=""/>
      <w:lvlJc w:val="left"/>
      <w:pPr>
        <w:ind w:left="2942" w:hanging="420"/>
      </w:pPr>
      <w:rPr>
        <w:rFonts w:hint="default" w:ascii="Wingdings" w:hAnsi="Wingdings"/>
      </w:rPr>
    </w:lvl>
    <w:lvl w:ilvl="6" w:tentative="0">
      <w:start w:val="1"/>
      <w:numFmt w:val="bullet"/>
      <w:lvlText w:val=""/>
      <w:lvlJc w:val="left"/>
      <w:pPr>
        <w:ind w:left="3362" w:hanging="420"/>
      </w:pPr>
      <w:rPr>
        <w:rFonts w:hint="default" w:ascii="Wingdings" w:hAnsi="Wingdings"/>
      </w:rPr>
    </w:lvl>
    <w:lvl w:ilvl="7" w:tentative="0">
      <w:start w:val="1"/>
      <w:numFmt w:val="bullet"/>
      <w:lvlText w:val=""/>
      <w:lvlJc w:val="left"/>
      <w:pPr>
        <w:ind w:left="3782" w:hanging="420"/>
      </w:pPr>
      <w:rPr>
        <w:rFonts w:hint="default" w:ascii="Wingdings" w:hAnsi="Wingdings"/>
      </w:rPr>
    </w:lvl>
    <w:lvl w:ilvl="8" w:tentative="0">
      <w:start w:val="1"/>
      <w:numFmt w:val="bullet"/>
      <w:lvlText w:val=""/>
      <w:lvlJc w:val="left"/>
      <w:pPr>
        <w:ind w:left="4202" w:hanging="420"/>
      </w:pPr>
      <w:rPr>
        <w:rFonts w:hint="default" w:ascii="Wingdings" w:hAnsi="Wingdings"/>
      </w:rPr>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0"/>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1OGE4NjY2YTQxYWIzYzBiNmU2MGQxNDgzMmU0ZjcifQ=="/>
  </w:docVars>
  <w:rsids>
    <w:rsidRoot w:val="00B25DCF"/>
    <w:rsid w:val="000453D0"/>
    <w:rsid w:val="0004627C"/>
    <w:rsid w:val="000B27DF"/>
    <w:rsid w:val="0018370C"/>
    <w:rsid w:val="00210FEE"/>
    <w:rsid w:val="002175FD"/>
    <w:rsid w:val="00255BF3"/>
    <w:rsid w:val="002C63CC"/>
    <w:rsid w:val="003D1992"/>
    <w:rsid w:val="003E441C"/>
    <w:rsid w:val="00404EFB"/>
    <w:rsid w:val="0048651E"/>
    <w:rsid w:val="005250DC"/>
    <w:rsid w:val="00527CBC"/>
    <w:rsid w:val="005A2813"/>
    <w:rsid w:val="005E136E"/>
    <w:rsid w:val="005F3CBF"/>
    <w:rsid w:val="00607D00"/>
    <w:rsid w:val="00654D11"/>
    <w:rsid w:val="00667DE8"/>
    <w:rsid w:val="006E3301"/>
    <w:rsid w:val="006F29D3"/>
    <w:rsid w:val="00715C87"/>
    <w:rsid w:val="007536B1"/>
    <w:rsid w:val="00774595"/>
    <w:rsid w:val="008C707F"/>
    <w:rsid w:val="00901FEC"/>
    <w:rsid w:val="00905D27"/>
    <w:rsid w:val="00945B71"/>
    <w:rsid w:val="00945C7B"/>
    <w:rsid w:val="009521AE"/>
    <w:rsid w:val="009706EB"/>
    <w:rsid w:val="00A156CD"/>
    <w:rsid w:val="00A623FB"/>
    <w:rsid w:val="00AB7022"/>
    <w:rsid w:val="00AD4DFB"/>
    <w:rsid w:val="00B25DCF"/>
    <w:rsid w:val="00B30D0D"/>
    <w:rsid w:val="00B4687B"/>
    <w:rsid w:val="00B621D7"/>
    <w:rsid w:val="00B95E62"/>
    <w:rsid w:val="00BA1917"/>
    <w:rsid w:val="00BA3E9C"/>
    <w:rsid w:val="00C03BF6"/>
    <w:rsid w:val="00CE1D89"/>
    <w:rsid w:val="00CE79E6"/>
    <w:rsid w:val="00D75FCE"/>
    <w:rsid w:val="00E40DF9"/>
    <w:rsid w:val="00E5770F"/>
    <w:rsid w:val="00F0224A"/>
    <w:rsid w:val="00F3114A"/>
    <w:rsid w:val="00FF7174"/>
    <w:rsid w:val="014E63E6"/>
    <w:rsid w:val="01A62383"/>
    <w:rsid w:val="01F04831"/>
    <w:rsid w:val="024F7978"/>
    <w:rsid w:val="03081088"/>
    <w:rsid w:val="03DB03D6"/>
    <w:rsid w:val="04D22609"/>
    <w:rsid w:val="05077E3C"/>
    <w:rsid w:val="0508760D"/>
    <w:rsid w:val="05105EB8"/>
    <w:rsid w:val="052E2A7F"/>
    <w:rsid w:val="05327F50"/>
    <w:rsid w:val="055C2FD2"/>
    <w:rsid w:val="05990B30"/>
    <w:rsid w:val="065B4657"/>
    <w:rsid w:val="06E7182B"/>
    <w:rsid w:val="072419E5"/>
    <w:rsid w:val="07375CE4"/>
    <w:rsid w:val="07FD6BBB"/>
    <w:rsid w:val="08007BFB"/>
    <w:rsid w:val="080E7CFC"/>
    <w:rsid w:val="08D06BFD"/>
    <w:rsid w:val="097656AD"/>
    <w:rsid w:val="09EE15EB"/>
    <w:rsid w:val="09FA7C78"/>
    <w:rsid w:val="0AA26B2B"/>
    <w:rsid w:val="0AF07741"/>
    <w:rsid w:val="0B881A3A"/>
    <w:rsid w:val="0C0E4985"/>
    <w:rsid w:val="0C9A37E6"/>
    <w:rsid w:val="0DA523C5"/>
    <w:rsid w:val="0DC7556F"/>
    <w:rsid w:val="0E8F2A39"/>
    <w:rsid w:val="0EF60DBE"/>
    <w:rsid w:val="0F1313E8"/>
    <w:rsid w:val="0F182AAC"/>
    <w:rsid w:val="0F1943D9"/>
    <w:rsid w:val="0F217712"/>
    <w:rsid w:val="0F5D5D8F"/>
    <w:rsid w:val="10442806"/>
    <w:rsid w:val="106F6814"/>
    <w:rsid w:val="10832879"/>
    <w:rsid w:val="1092436A"/>
    <w:rsid w:val="10DA28A0"/>
    <w:rsid w:val="1171493D"/>
    <w:rsid w:val="11DE2835"/>
    <w:rsid w:val="11E516DE"/>
    <w:rsid w:val="126356B7"/>
    <w:rsid w:val="12905939"/>
    <w:rsid w:val="13343AFA"/>
    <w:rsid w:val="134139C5"/>
    <w:rsid w:val="13D56D0A"/>
    <w:rsid w:val="141F2D81"/>
    <w:rsid w:val="148B5CD2"/>
    <w:rsid w:val="14BA39BC"/>
    <w:rsid w:val="14F80509"/>
    <w:rsid w:val="153247B8"/>
    <w:rsid w:val="15B70EF6"/>
    <w:rsid w:val="164A64E5"/>
    <w:rsid w:val="164B2B7B"/>
    <w:rsid w:val="16885F37"/>
    <w:rsid w:val="17214AEB"/>
    <w:rsid w:val="174A38A5"/>
    <w:rsid w:val="182E31A6"/>
    <w:rsid w:val="18312B46"/>
    <w:rsid w:val="18702A2B"/>
    <w:rsid w:val="188D063E"/>
    <w:rsid w:val="18CD1D9D"/>
    <w:rsid w:val="18E6794B"/>
    <w:rsid w:val="19711A3B"/>
    <w:rsid w:val="198473C2"/>
    <w:rsid w:val="19C42843"/>
    <w:rsid w:val="1A1D2803"/>
    <w:rsid w:val="1A2F43B1"/>
    <w:rsid w:val="1A425AC0"/>
    <w:rsid w:val="1AF32BF1"/>
    <w:rsid w:val="1AF36D10"/>
    <w:rsid w:val="1B656344"/>
    <w:rsid w:val="1BB55F9D"/>
    <w:rsid w:val="1C8E4FD1"/>
    <w:rsid w:val="1DD65D38"/>
    <w:rsid w:val="1E5D6CAD"/>
    <w:rsid w:val="1ECD23DB"/>
    <w:rsid w:val="1ECD5A69"/>
    <w:rsid w:val="1EE75D8F"/>
    <w:rsid w:val="1F2667EF"/>
    <w:rsid w:val="1F6F5BBD"/>
    <w:rsid w:val="20092528"/>
    <w:rsid w:val="20224F05"/>
    <w:rsid w:val="203B41C4"/>
    <w:rsid w:val="209E767F"/>
    <w:rsid w:val="21FE7025"/>
    <w:rsid w:val="22233882"/>
    <w:rsid w:val="227F73DF"/>
    <w:rsid w:val="22980922"/>
    <w:rsid w:val="22E35DCA"/>
    <w:rsid w:val="22FB19F0"/>
    <w:rsid w:val="2321335C"/>
    <w:rsid w:val="23252C33"/>
    <w:rsid w:val="23842DD6"/>
    <w:rsid w:val="23A53B5A"/>
    <w:rsid w:val="23C505DB"/>
    <w:rsid w:val="248E5F1B"/>
    <w:rsid w:val="25182603"/>
    <w:rsid w:val="253E4E15"/>
    <w:rsid w:val="255E70DA"/>
    <w:rsid w:val="25B224AD"/>
    <w:rsid w:val="25E66287"/>
    <w:rsid w:val="25F24D4B"/>
    <w:rsid w:val="266666BC"/>
    <w:rsid w:val="268F1AAC"/>
    <w:rsid w:val="27081B2B"/>
    <w:rsid w:val="27100D3D"/>
    <w:rsid w:val="273035BB"/>
    <w:rsid w:val="27763707"/>
    <w:rsid w:val="27BA6570"/>
    <w:rsid w:val="28762A36"/>
    <w:rsid w:val="28A07BD9"/>
    <w:rsid w:val="2A5F65F3"/>
    <w:rsid w:val="2AB77CEF"/>
    <w:rsid w:val="2B6D28CA"/>
    <w:rsid w:val="2BB016C0"/>
    <w:rsid w:val="2CA731A5"/>
    <w:rsid w:val="2D0F2575"/>
    <w:rsid w:val="2D193F3B"/>
    <w:rsid w:val="2D9E6F10"/>
    <w:rsid w:val="2E3B7B4E"/>
    <w:rsid w:val="2E747F52"/>
    <w:rsid w:val="2EB66DE6"/>
    <w:rsid w:val="2EBA23FE"/>
    <w:rsid w:val="2F9A45D9"/>
    <w:rsid w:val="30105533"/>
    <w:rsid w:val="30C004AA"/>
    <w:rsid w:val="30EE0C34"/>
    <w:rsid w:val="317301FD"/>
    <w:rsid w:val="319B000F"/>
    <w:rsid w:val="31B917D5"/>
    <w:rsid w:val="329621CD"/>
    <w:rsid w:val="32E95C43"/>
    <w:rsid w:val="332F0421"/>
    <w:rsid w:val="335C6C6A"/>
    <w:rsid w:val="33C476E9"/>
    <w:rsid w:val="341D1E88"/>
    <w:rsid w:val="34547561"/>
    <w:rsid w:val="34D55FFB"/>
    <w:rsid w:val="34ED1484"/>
    <w:rsid w:val="355331F5"/>
    <w:rsid w:val="35726368"/>
    <w:rsid w:val="35856769"/>
    <w:rsid w:val="36202FA3"/>
    <w:rsid w:val="36406773"/>
    <w:rsid w:val="367B7663"/>
    <w:rsid w:val="36981629"/>
    <w:rsid w:val="3771432F"/>
    <w:rsid w:val="37AD757B"/>
    <w:rsid w:val="37B43AAA"/>
    <w:rsid w:val="380C3170"/>
    <w:rsid w:val="3906196D"/>
    <w:rsid w:val="391E2C76"/>
    <w:rsid w:val="39326D03"/>
    <w:rsid w:val="393F046A"/>
    <w:rsid w:val="395010C1"/>
    <w:rsid w:val="398133B9"/>
    <w:rsid w:val="39D757F0"/>
    <w:rsid w:val="39FE4F96"/>
    <w:rsid w:val="3A0C563A"/>
    <w:rsid w:val="3A51392D"/>
    <w:rsid w:val="3A910133"/>
    <w:rsid w:val="3AE4661D"/>
    <w:rsid w:val="3B1322F7"/>
    <w:rsid w:val="3CA72C57"/>
    <w:rsid w:val="3CB6127C"/>
    <w:rsid w:val="3CE2661E"/>
    <w:rsid w:val="3D5D746C"/>
    <w:rsid w:val="3D9B3E57"/>
    <w:rsid w:val="3DC85EA0"/>
    <w:rsid w:val="3EAE28BD"/>
    <w:rsid w:val="3EC30EEE"/>
    <w:rsid w:val="3EED2C39"/>
    <w:rsid w:val="3EFF0D0A"/>
    <w:rsid w:val="3F301E9A"/>
    <w:rsid w:val="3F361BE3"/>
    <w:rsid w:val="3F651BBC"/>
    <w:rsid w:val="3F7FC98A"/>
    <w:rsid w:val="3FFB12E8"/>
    <w:rsid w:val="40A54A4D"/>
    <w:rsid w:val="411B77E3"/>
    <w:rsid w:val="413D1951"/>
    <w:rsid w:val="41662AC5"/>
    <w:rsid w:val="41B87D7C"/>
    <w:rsid w:val="429D25D1"/>
    <w:rsid w:val="42AA2CD7"/>
    <w:rsid w:val="42D42D01"/>
    <w:rsid w:val="42F26EFB"/>
    <w:rsid w:val="42F9456A"/>
    <w:rsid w:val="44323986"/>
    <w:rsid w:val="444D0792"/>
    <w:rsid w:val="44692239"/>
    <w:rsid w:val="447C6EDC"/>
    <w:rsid w:val="44830732"/>
    <w:rsid w:val="44B2692B"/>
    <w:rsid w:val="44D432F0"/>
    <w:rsid w:val="44F60F3C"/>
    <w:rsid w:val="455B0CDD"/>
    <w:rsid w:val="455E6EBE"/>
    <w:rsid w:val="466E5DA4"/>
    <w:rsid w:val="46B9041D"/>
    <w:rsid w:val="47F90995"/>
    <w:rsid w:val="48081B34"/>
    <w:rsid w:val="481C104C"/>
    <w:rsid w:val="48237881"/>
    <w:rsid w:val="48B56313"/>
    <w:rsid w:val="48C26E13"/>
    <w:rsid w:val="48D75821"/>
    <w:rsid w:val="4930308F"/>
    <w:rsid w:val="49B716E0"/>
    <w:rsid w:val="4A8127EC"/>
    <w:rsid w:val="4ACC3A6E"/>
    <w:rsid w:val="4AF32B95"/>
    <w:rsid w:val="4B2C6333"/>
    <w:rsid w:val="4B387668"/>
    <w:rsid w:val="4B523493"/>
    <w:rsid w:val="4B7C6E7E"/>
    <w:rsid w:val="4B8A27C9"/>
    <w:rsid w:val="4BEF5017"/>
    <w:rsid w:val="4C627795"/>
    <w:rsid w:val="4C97495B"/>
    <w:rsid w:val="4CA32EFD"/>
    <w:rsid w:val="4CD93E8B"/>
    <w:rsid w:val="4D2C5DF9"/>
    <w:rsid w:val="4D8B5849"/>
    <w:rsid w:val="4DEF3B6D"/>
    <w:rsid w:val="4E5106E0"/>
    <w:rsid w:val="4E657457"/>
    <w:rsid w:val="4E6F0F36"/>
    <w:rsid w:val="4EB17BBA"/>
    <w:rsid w:val="4EE51DCB"/>
    <w:rsid w:val="4EF23093"/>
    <w:rsid w:val="4EFD0628"/>
    <w:rsid w:val="4F0635CB"/>
    <w:rsid w:val="4F8FACC5"/>
    <w:rsid w:val="4FE33173"/>
    <w:rsid w:val="4FEA5E2E"/>
    <w:rsid w:val="501E6AB0"/>
    <w:rsid w:val="50D56C9C"/>
    <w:rsid w:val="50D7536E"/>
    <w:rsid w:val="510E6CED"/>
    <w:rsid w:val="51B23AE8"/>
    <w:rsid w:val="5286372F"/>
    <w:rsid w:val="528E723A"/>
    <w:rsid w:val="534202CD"/>
    <w:rsid w:val="53496D40"/>
    <w:rsid w:val="535042D5"/>
    <w:rsid w:val="5378760C"/>
    <w:rsid w:val="53927122"/>
    <w:rsid w:val="53AE5C5B"/>
    <w:rsid w:val="53D033A5"/>
    <w:rsid w:val="53E85A62"/>
    <w:rsid w:val="53F40809"/>
    <w:rsid w:val="54445EFB"/>
    <w:rsid w:val="54484B45"/>
    <w:rsid w:val="54FE7005"/>
    <w:rsid w:val="551224CD"/>
    <w:rsid w:val="551B0983"/>
    <w:rsid w:val="551D79B8"/>
    <w:rsid w:val="557C4F4E"/>
    <w:rsid w:val="558677D8"/>
    <w:rsid w:val="55963AEB"/>
    <w:rsid w:val="55C75AA5"/>
    <w:rsid w:val="564F5A43"/>
    <w:rsid w:val="56785863"/>
    <w:rsid w:val="569A0E42"/>
    <w:rsid w:val="56EF2015"/>
    <w:rsid w:val="571D6E5A"/>
    <w:rsid w:val="57801CED"/>
    <w:rsid w:val="58A66587"/>
    <w:rsid w:val="58CB797C"/>
    <w:rsid w:val="59715F10"/>
    <w:rsid w:val="59960420"/>
    <w:rsid w:val="59BF6D0D"/>
    <w:rsid w:val="59DF2D4E"/>
    <w:rsid w:val="5A0C57BE"/>
    <w:rsid w:val="5A1C2A14"/>
    <w:rsid w:val="5A344DCF"/>
    <w:rsid w:val="5BB45166"/>
    <w:rsid w:val="5C5353A9"/>
    <w:rsid w:val="5C5A1114"/>
    <w:rsid w:val="5C880DF3"/>
    <w:rsid w:val="5C913827"/>
    <w:rsid w:val="5CA9721B"/>
    <w:rsid w:val="5CAF02C1"/>
    <w:rsid w:val="5CD05DDA"/>
    <w:rsid w:val="5CFF2B0D"/>
    <w:rsid w:val="5D13175F"/>
    <w:rsid w:val="5D3235D9"/>
    <w:rsid w:val="5D5D0300"/>
    <w:rsid w:val="5E3963B4"/>
    <w:rsid w:val="5F0C4679"/>
    <w:rsid w:val="601E5715"/>
    <w:rsid w:val="603C0C35"/>
    <w:rsid w:val="60742114"/>
    <w:rsid w:val="60B214F9"/>
    <w:rsid w:val="60DD3C40"/>
    <w:rsid w:val="61C20836"/>
    <w:rsid w:val="621A7759"/>
    <w:rsid w:val="621E7531"/>
    <w:rsid w:val="62410553"/>
    <w:rsid w:val="631D6A44"/>
    <w:rsid w:val="640A4FDC"/>
    <w:rsid w:val="64195DA2"/>
    <w:rsid w:val="646850E8"/>
    <w:rsid w:val="64736301"/>
    <w:rsid w:val="64C62B0C"/>
    <w:rsid w:val="64FB9E04"/>
    <w:rsid w:val="6501173F"/>
    <w:rsid w:val="654E2625"/>
    <w:rsid w:val="65814392"/>
    <w:rsid w:val="6692181A"/>
    <w:rsid w:val="669E0DC4"/>
    <w:rsid w:val="66B4379E"/>
    <w:rsid w:val="66C37382"/>
    <w:rsid w:val="66D92FD9"/>
    <w:rsid w:val="676B4C15"/>
    <w:rsid w:val="67BF62A4"/>
    <w:rsid w:val="6837419C"/>
    <w:rsid w:val="683A6DD4"/>
    <w:rsid w:val="687148BC"/>
    <w:rsid w:val="688F1766"/>
    <w:rsid w:val="68D06E97"/>
    <w:rsid w:val="68F47B35"/>
    <w:rsid w:val="6946394C"/>
    <w:rsid w:val="69824833"/>
    <w:rsid w:val="698F56F4"/>
    <w:rsid w:val="69965979"/>
    <w:rsid w:val="6A1228C6"/>
    <w:rsid w:val="6A4E71A3"/>
    <w:rsid w:val="6A551D4A"/>
    <w:rsid w:val="6A6F2D86"/>
    <w:rsid w:val="6B1D1C0C"/>
    <w:rsid w:val="6B1E523F"/>
    <w:rsid w:val="6B393CCD"/>
    <w:rsid w:val="6BA610F1"/>
    <w:rsid w:val="6C355379"/>
    <w:rsid w:val="6C412FC5"/>
    <w:rsid w:val="6CBC2DF3"/>
    <w:rsid w:val="6D396596"/>
    <w:rsid w:val="6D9B48F2"/>
    <w:rsid w:val="6DDF4BBC"/>
    <w:rsid w:val="6DFA4CD4"/>
    <w:rsid w:val="6E2C753C"/>
    <w:rsid w:val="6E7B24F6"/>
    <w:rsid w:val="6F1417FB"/>
    <w:rsid w:val="6F78FE72"/>
    <w:rsid w:val="70BA3604"/>
    <w:rsid w:val="713F2CEE"/>
    <w:rsid w:val="71A90018"/>
    <w:rsid w:val="71FD3737"/>
    <w:rsid w:val="722A5A3A"/>
    <w:rsid w:val="72AB4BE8"/>
    <w:rsid w:val="72B7047C"/>
    <w:rsid w:val="7352765D"/>
    <w:rsid w:val="735B2873"/>
    <w:rsid w:val="73741C21"/>
    <w:rsid w:val="748D7EDA"/>
    <w:rsid w:val="74D31CDB"/>
    <w:rsid w:val="75120795"/>
    <w:rsid w:val="75132565"/>
    <w:rsid w:val="757D49AB"/>
    <w:rsid w:val="75A07EC5"/>
    <w:rsid w:val="76932267"/>
    <w:rsid w:val="76944F60"/>
    <w:rsid w:val="76AA447F"/>
    <w:rsid w:val="76E702E9"/>
    <w:rsid w:val="77257773"/>
    <w:rsid w:val="774B355F"/>
    <w:rsid w:val="77821933"/>
    <w:rsid w:val="779C1AE0"/>
    <w:rsid w:val="77BE937F"/>
    <w:rsid w:val="77E11DB7"/>
    <w:rsid w:val="788D466C"/>
    <w:rsid w:val="796234C2"/>
    <w:rsid w:val="79A21F0F"/>
    <w:rsid w:val="7A055648"/>
    <w:rsid w:val="7A276975"/>
    <w:rsid w:val="7A907516"/>
    <w:rsid w:val="7AB253FD"/>
    <w:rsid w:val="7AE75E73"/>
    <w:rsid w:val="7B1E29B4"/>
    <w:rsid w:val="7B88129D"/>
    <w:rsid w:val="7BB3E5D7"/>
    <w:rsid w:val="7C3FA89F"/>
    <w:rsid w:val="7C943E1F"/>
    <w:rsid w:val="7CBD6ECC"/>
    <w:rsid w:val="7D0C5FB4"/>
    <w:rsid w:val="7D55504E"/>
    <w:rsid w:val="7D645865"/>
    <w:rsid w:val="7D9340A3"/>
    <w:rsid w:val="7E222D84"/>
    <w:rsid w:val="7EBBCF95"/>
    <w:rsid w:val="7ECC5333"/>
    <w:rsid w:val="7F3E7DE6"/>
    <w:rsid w:val="7FD48A0E"/>
    <w:rsid w:val="7FFF645B"/>
    <w:rsid w:val="9BEF00A9"/>
    <w:rsid w:val="9DBEAEE8"/>
    <w:rsid w:val="ADBFCE48"/>
    <w:rsid w:val="AF4F447C"/>
    <w:rsid w:val="B3BDC6F9"/>
    <w:rsid w:val="B7771A3A"/>
    <w:rsid w:val="DFBDFABB"/>
    <w:rsid w:val="E55D6E6F"/>
    <w:rsid w:val="EB7BD9A6"/>
    <w:rsid w:val="F74FF4F3"/>
    <w:rsid w:val="F7D325C3"/>
    <w:rsid w:val="F7FEEA8D"/>
    <w:rsid w:val="FAEF268F"/>
    <w:rsid w:val="FD9FAE1B"/>
    <w:rsid w:val="FDAF904F"/>
    <w:rsid w:val="FF7FE053"/>
    <w:rsid w:val="FFBE7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name="header"/>
    <w:lsdException w:qFormat="1" w:unhideWhenUsed="0" w:uiPriority="0" w:name="footer"/>
    <w:lsdException w:unhideWhenUsed="0" w:uiPriority="0" w:semiHidden="0" w:name="index heading"/>
    <w:lsdException w:qFormat="1" w:unhideWhenUsed="0" w:uiPriority="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iPriority="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spacing w:line="360" w:lineRule="auto"/>
      <w:ind w:firstLine="200" w:firstLineChars="200"/>
      <w:jc w:val="both"/>
    </w:pPr>
    <w:rPr>
      <w:rFonts w:ascii="Times New Roman" w:hAnsi="Times New Roman" w:eastAsia="宋体" w:cs="Times New Roman"/>
      <w:snapToGrid w:val="0"/>
      <w:sz w:val="21"/>
      <w:szCs w:val="21"/>
      <w:lang w:val="en-US" w:eastAsia="zh-CN" w:bidi="ar-SA"/>
    </w:rPr>
  </w:style>
  <w:style w:type="paragraph" w:styleId="3">
    <w:name w:val="heading 1"/>
    <w:basedOn w:val="4"/>
    <w:next w:val="1"/>
    <w:link w:val="44"/>
    <w:qFormat/>
    <w:uiPriority w:val="0"/>
    <w:pPr>
      <w:keepNext/>
      <w:keepLines/>
      <w:numPr>
        <w:ilvl w:val="0"/>
        <w:numId w:val="1"/>
      </w:numPr>
      <w:tabs>
        <w:tab w:val="left" w:pos="420"/>
      </w:tabs>
      <w:spacing w:before="160" w:after="160" w:line="240" w:lineRule="auto"/>
      <w:ind w:firstLine="0" w:firstLineChars="0"/>
      <w:jc w:val="left"/>
    </w:pPr>
    <w:rPr>
      <w:rFonts w:eastAsia="黑体"/>
      <w:b w:val="0"/>
      <w:kern w:val="44"/>
    </w:rPr>
  </w:style>
  <w:style w:type="paragraph" w:styleId="5">
    <w:name w:val="heading 2"/>
    <w:basedOn w:val="3"/>
    <w:next w:val="1"/>
    <w:link w:val="45"/>
    <w:unhideWhenUsed/>
    <w:qFormat/>
    <w:uiPriority w:val="0"/>
    <w:pPr>
      <w:numPr>
        <w:ilvl w:val="1"/>
      </w:numPr>
      <w:tabs>
        <w:tab w:val="clear" w:pos="420"/>
      </w:tabs>
      <w:outlineLvl w:val="1"/>
    </w:pPr>
    <w:rPr>
      <w:rFonts w:ascii="Arial" w:hAnsi="Arial"/>
      <w:sz w:val="30"/>
    </w:rPr>
  </w:style>
  <w:style w:type="paragraph" w:styleId="6">
    <w:name w:val="heading 3"/>
    <w:basedOn w:val="3"/>
    <w:next w:val="1"/>
    <w:unhideWhenUsed/>
    <w:qFormat/>
    <w:uiPriority w:val="0"/>
    <w:pPr>
      <w:numPr>
        <w:ilvl w:val="2"/>
      </w:numPr>
      <w:outlineLvl w:val="2"/>
    </w:pPr>
    <w:rPr>
      <w:rFonts w:ascii="Arial" w:hAnsi="Arial"/>
      <w:sz w:val="28"/>
    </w:rPr>
  </w:style>
  <w:style w:type="paragraph" w:styleId="7">
    <w:name w:val="heading 4"/>
    <w:basedOn w:val="3"/>
    <w:next w:val="1"/>
    <w:link w:val="42"/>
    <w:unhideWhenUsed/>
    <w:qFormat/>
    <w:uiPriority w:val="0"/>
    <w:pPr>
      <w:numPr>
        <w:ilvl w:val="3"/>
      </w:numPr>
      <w:outlineLvl w:val="3"/>
    </w:pPr>
    <w:rPr>
      <w:rFonts w:ascii="Arial" w:hAnsi="Arial"/>
      <w:sz w:val="24"/>
    </w:rPr>
  </w:style>
  <w:style w:type="paragraph" w:styleId="8">
    <w:name w:val="heading 5"/>
    <w:basedOn w:val="5"/>
    <w:next w:val="1"/>
    <w:link w:val="43"/>
    <w:unhideWhenUsed/>
    <w:qFormat/>
    <w:uiPriority w:val="0"/>
    <w:pPr>
      <w:numPr>
        <w:ilvl w:val="4"/>
      </w:numPr>
      <w:tabs>
        <w:tab w:val="left" w:pos="420"/>
      </w:tabs>
      <w:spacing w:before="280" w:after="290" w:line="372" w:lineRule="auto"/>
      <w:outlineLvl w:val="4"/>
    </w:pPr>
    <w:rPr>
      <w:sz w:val="21"/>
    </w:rPr>
  </w:style>
  <w:style w:type="paragraph" w:styleId="9">
    <w:name w:val="heading 6"/>
    <w:basedOn w:val="1"/>
    <w:next w:val="1"/>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10">
    <w:name w:val="heading 7"/>
    <w:basedOn w:val="1"/>
    <w:next w:val="1"/>
    <w:semiHidden/>
    <w:unhideWhenUsed/>
    <w:qFormat/>
    <w:uiPriority w:val="0"/>
    <w:pPr>
      <w:keepNext/>
      <w:keepLines/>
      <w:numPr>
        <w:ilvl w:val="6"/>
        <w:numId w:val="1"/>
      </w:numPr>
      <w:spacing w:before="240" w:after="64" w:line="317" w:lineRule="auto"/>
      <w:outlineLvl w:val="6"/>
    </w:pPr>
    <w:rPr>
      <w:b/>
      <w:sz w:val="24"/>
    </w:rPr>
  </w:style>
  <w:style w:type="paragraph" w:styleId="11">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2">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Theme="minorHAnsi" w:hAnsiTheme="minorHAnsi"/>
    </w:rPr>
  </w:style>
  <w:style w:type="paragraph" w:styleId="4">
    <w:name w:val="Title"/>
    <w:basedOn w:val="1"/>
    <w:next w:val="1"/>
    <w:semiHidden/>
    <w:unhideWhenUsed/>
    <w:qFormat/>
    <w:uiPriority w:val="0"/>
    <w:pPr>
      <w:spacing w:before="240" w:after="60"/>
      <w:jc w:val="center"/>
      <w:outlineLvl w:val="0"/>
    </w:pPr>
    <w:rPr>
      <w:rFonts w:asciiTheme="majorHAnsi" w:hAnsiTheme="majorHAnsi" w:eastAsiaTheme="majorEastAsia" w:cstheme="majorBidi"/>
      <w:b/>
      <w:bCs/>
      <w:sz w:val="32"/>
      <w:szCs w:val="32"/>
    </w:rPr>
  </w:style>
  <w:style w:type="paragraph" w:styleId="13">
    <w:name w:val="caption"/>
    <w:basedOn w:val="1"/>
    <w:next w:val="1"/>
    <w:qFormat/>
    <w:uiPriority w:val="9"/>
    <w:pPr>
      <w:jc w:val="center"/>
    </w:pPr>
    <w:rPr>
      <w:rFonts w:asciiTheme="majorHAnsi" w:hAnsiTheme="majorHAnsi" w:cstheme="majorBidi"/>
      <w:sz w:val="18"/>
      <w:szCs w:val="20"/>
    </w:rPr>
  </w:style>
  <w:style w:type="paragraph" w:styleId="14">
    <w:name w:val="annotation text"/>
    <w:basedOn w:val="1"/>
    <w:qFormat/>
    <w:uiPriority w:val="0"/>
    <w:pPr>
      <w:jc w:val="left"/>
    </w:pPr>
  </w:style>
  <w:style w:type="paragraph" w:styleId="15">
    <w:name w:val="toc 3"/>
    <w:basedOn w:val="1"/>
    <w:next w:val="1"/>
    <w:qFormat/>
    <w:uiPriority w:val="39"/>
    <w:pPr>
      <w:ind w:left="400" w:leftChars="400" w:firstLine="0" w:firstLineChars="0"/>
    </w:pPr>
  </w:style>
  <w:style w:type="paragraph" w:styleId="16">
    <w:name w:val="footer"/>
    <w:basedOn w:val="1"/>
    <w:semiHidden/>
    <w:qFormat/>
    <w:uiPriority w:val="0"/>
    <w:pPr>
      <w:tabs>
        <w:tab w:val="center" w:pos="4510"/>
        <w:tab w:val="right" w:pos="9020"/>
      </w:tabs>
    </w:pPr>
    <w:rPr>
      <w:rFonts w:ascii="Arial" w:hAnsi="Arial"/>
      <w:sz w:val="18"/>
      <w:szCs w:val="18"/>
    </w:rPr>
  </w:style>
  <w:style w:type="paragraph" w:styleId="17">
    <w:name w:val="header"/>
    <w:basedOn w:val="1"/>
    <w:semiHidden/>
    <w:qFormat/>
    <w:uiPriority w:val="0"/>
    <w:pPr>
      <w:tabs>
        <w:tab w:val="center" w:pos="4153"/>
        <w:tab w:val="right" w:pos="8306"/>
      </w:tabs>
      <w:snapToGrid w:val="0"/>
    </w:pPr>
    <w:rPr>
      <w:rFonts w:ascii="Arial" w:hAnsi="Arial"/>
      <w:sz w:val="18"/>
      <w:szCs w:val="18"/>
    </w:rPr>
  </w:style>
  <w:style w:type="paragraph" w:styleId="18">
    <w:name w:val="toc 1"/>
    <w:basedOn w:val="1"/>
    <w:next w:val="1"/>
    <w:qFormat/>
    <w:uiPriority w:val="39"/>
    <w:pPr>
      <w:ind w:firstLine="0" w:firstLineChars="0"/>
    </w:pPr>
  </w:style>
  <w:style w:type="paragraph" w:styleId="19">
    <w:name w:val="toc 4"/>
    <w:basedOn w:val="1"/>
    <w:next w:val="1"/>
    <w:qFormat/>
    <w:uiPriority w:val="39"/>
    <w:pPr>
      <w:ind w:left="600" w:leftChars="600" w:firstLine="0" w:firstLineChars="0"/>
    </w:pPr>
  </w:style>
  <w:style w:type="paragraph" w:styleId="20">
    <w:name w:val="List"/>
    <w:basedOn w:val="1"/>
    <w:unhideWhenUsed/>
    <w:qFormat/>
    <w:uiPriority w:val="0"/>
    <w:pPr>
      <w:ind w:left="200" w:hanging="200" w:hangingChars="200"/>
      <w:contextualSpacing/>
    </w:pPr>
  </w:style>
  <w:style w:type="paragraph" w:styleId="21">
    <w:name w:val="toc 2"/>
    <w:basedOn w:val="1"/>
    <w:next w:val="1"/>
    <w:qFormat/>
    <w:uiPriority w:val="39"/>
    <w:pPr>
      <w:ind w:left="200" w:leftChars="200" w:firstLine="0" w:firstLineChars="0"/>
    </w:pPr>
  </w:style>
  <w:style w:type="paragraph" w:styleId="22">
    <w:name w:val="Normal (Web)"/>
    <w:basedOn w:val="1"/>
    <w:qFormat/>
    <w:uiPriority w:val="99"/>
    <w:pPr>
      <w:spacing w:beforeAutospacing="1" w:afterAutospacing="1"/>
      <w:jc w:val="left"/>
    </w:pPr>
    <w:rPr>
      <w:sz w:val="24"/>
    </w:rPr>
  </w:style>
  <w:style w:type="table" w:styleId="24">
    <w:name w:val="Table Grid"/>
    <w:basedOn w:val="23"/>
    <w:qFormat/>
    <w:uiPriority w:val="39"/>
    <w:pPr>
      <w:ind w:left="420" w:hanging="42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character" w:styleId="27">
    <w:name w:val="Hyperlink"/>
    <w:basedOn w:val="25"/>
    <w:qFormat/>
    <w:uiPriority w:val="99"/>
    <w:rPr>
      <w:color w:val="0000FF"/>
      <w:u w:val="single"/>
    </w:rPr>
  </w:style>
  <w:style w:type="paragraph" w:customStyle="1" w:styleId="28">
    <w:name w:val="文档标题"/>
    <w:basedOn w:val="1"/>
    <w:semiHidden/>
    <w:qFormat/>
    <w:uiPriority w:val="0"/>
    <w:pPr>
      <w:tabs>
        <w:tab w:val="left" w:pos="0"/>
      </w:tabs>
      <w:spacing w:before="300" w:after="300"/>
      <w:ind w:firstLine="0" w:firstLineChars="0"/>
      <w:jc w:val="center"/>
    </w:pPr>
    <w:rPr>
      <w:rFonts w:ascii="Arial" w:hAnsi="Arial" w:eastAsia="黑体"/>
      <w:sz w:val="36"/>
      <w:szCs w:val="36"/>
    </w:rPr>
  </w:style>
  <w:style w:type="paragraph" w:customStyle="1" w:styleId="29">
    <w:name w:val="表格内容"/>
    <w:basedOn w:val="1"/>
    <w:qFormat/>
    <w:uiPriority w:val="0"/>
    <w:pPr>
      <w:ind w:firstLine="0" w:firstLineChars="0"/>
    </w:pPr>
    <w:rPr>
      <w:rFonts w:cs="宋体"/>
      <w:sz w:val="18"/>
    </w:rPr>
  </w:style>
  <w:style w:type="paragraph" w:customStyle="1" w:styleId="30">
    <w:name w:val="圆点符号"/>
    <w:basedOn w:val="1"/>
    <w:next w:val="1"/>
    <w:qFormat/>
    <w:uiPriority w:val="9"/>
    <w:pPr>
      <w:numPr>
        <w:ilvl w:val="0"/>
        <w:numId w:val="2"/>
      </w:numPr>
      <w:ind w:left="455"/>
    </w:pPr>
  </w:style>
  <w:style w:type="paragraph" w:customStyle="1" w:styleId="31">
    <w:name w:val="特性小标题"/>
    <w:basedOn w:val="1"/>
    <w:next w:val="1"/>
    <w:qFormat/>
    <w:uiPriority w:val="9"/>
    <w:pPr>
      <w:adjustRightInd/>
      <w:spacing w:before="50" w:beforeLines="50"/>
    </w:pPr>
    <w:rPr>
      <w:b/>
    </w:rPr>
  </w:style>
  <w:style w:type="paragraph" w:customStyle="1" w:styleId="32">
    <w:name w:val="表格题注"/>
    <w:basedOn w:val="13"/>
    <w:next w:val="1"/>
    <w:qFormat/>
    <w:uiPriority w:val="9"/>
    <w:pPr>
      <w:numPr>
        <w:ilvl w:val="0"/>
        <w:numId w:val="3"/>
      </w:numPr>
      <w:tabs>
        <w:tab w:val="left" w:pos="454"/>
      </w:tabs>
      <w:ind w:left="0" w:firstLine="420" w:firstLineChars="0"/>
      <w:jc w:val="left"/>
    </w:pPr>
  </w:style>
  <w:style w:type="paragraph" w:customStyle="1" w:styleId="33">
    <w:name w:val="插图题注"/>
    <w:basedOn w:val="13"/>
    <w:next w:val="1"/>
    <w:qFormat/>
    <w:uiPriority w:val="9"/>
    <w:pPr>
      <w:numPr>
        <w:ilvl w:val="0"/>
        <w:numId w:val="4"/>
      </w:numPr>
      <w:spacing w:line="240" w:lineRule="auto"/>
      <w:ind w:left="0" w:firstLine="0" w:firstLineChars="0"/>
    </w:pPr>
    <w:rPr>
      <w:rFonts w:ascii="Arial" w:hAnsi="Arial"/>
      <w:szCs w:val="18"/>
    </w:rPr>
  </w:style>
  <w:style w:type="paragraph" w:customStyle="1" w:styleId="34">
    <w:name w:val="正文特性"/>
    <w:basedOn w:val="35"/>
    <w:qFormat/>
    <w:uiPriority w:val="0"/>
    <w:pPr>
      <w:numPr>
        <w:ilvl w:val="0"/>
        <w:numId w:val="5"/>
      </w:numPr>
      <w:ind w:firstLine="0" w:firstLineChars="0"/>
    </w:pPr>
    <w:rPr>
      <w:rFonts w:cs="宋体" w:asciiTheme="minorEastAsia" w:hAnsiTheme="minorEastAsia" w:eastAsiaTheme="minorEastAsia"/>
    </w:rPr>
  </w:style>
  <w:style w:type="paragraph" w:styleId="35">
    <w:name w:val="List Paragraph"/>
    <w:basedOn w:val="1"/>
    <w:link w:val="41"/>
    <w:qFormat/>
    <w:uiPriority w:val="99"/>
    <w:pPr>
      <w:ind w:firstLine="420"/>
    </w:pPr>
  </w:style>
  <w:style w:type="paragraph" w:customStyle="1" w:styleId="36">
    <w:name w:val="图片标题"/>
    <w:basedOn w:val="1"/>
    <w:qFormat/>
    <w:uiPriority w:val="0"/>
    <w:pPr>
      <w:autoSpaceDE/>
      <w:autoSpaceDN/>
      <w:snapToGrid w:val="0"/>
      <w:spacing w:before="100" w:beforeAutospacing="1" w:after="100" w:afterAutospacing="1" w:line="240" w:lineRule="auto"/>
      <w:ind w:firstLine="0" w:firstLineChars="0"/>
      <w:jc w:val="center"/>
    </w:pPr>
    <w:rPr>
      <w:rFonts w:eastAsiaTheme="minorEastAsia"/>
      <w:snapToGrid/>
      <w:kern w:val="2"/>
      <w:sz w:val="24"/>
      <w:szCs w:val="24"/>
    </w:rPr>
  </w:style>
  <w:style w:type="paragraph" w:customStyle="1" w:styleId="37">
    <w:name w:val="列表段落1"/>
    <w:basedOn w:val="1"/>
    <w:qFormat/>
    <w:uiPriority w:val="34"/>
    <w:pPr>
      <w:autoSpaceDE/>
      <w:autoSpaceDN/>
      <w:adjustRightInd/>
      <w:spacing w:before="100" w:beforeAutospacing="1" w:after="100" w:afterAutospacing="1"/>
      <w:ind w:firstLine="420"/>
    </w:pPr>
    <w:rPr>
      <w:rFonts w:ascii="宋体" w:hAnsi="宋体" w:cs="黑体"/>
      <w:snapToGrid/>
      <w:kern w:val="2"/>
      <w:sz w:val="24"/>
      <w:szCs w:val="22"/>
    </w:rPr>
  </w:style>
  <w:style w:type="paragraph" w:customStyle="1" w:styleId="38">
    <w:name w:val="一级特性1"/>
    <w:basedOn w:val="35"/>
    <w:next w:val="39"/>
    <w:link w:val="40"/>
    <w:qFormat/>
    <w:uiPriority w:val="0"/>
    <w:pPr>
      <w:ind w:left="420" w:firstLine="0" w:firstLineChars="0"/>
    </w:pPr>
  </w:style>
  <w:style w:type="paragraph" w:customStyle="1" w:styleId="39">
    <w:name w:val="正文（首行不缩进）"/>
    <w:basedOn w:val="1"/>
    <w:semiHidden/>
    <w:qFormat/>
    <w:uiPriority w:val="0"/>
    <w:pPr>
      <w:ind w:firstLine="0" w:firstLineChars="0"/>
    </w:pPr>
  </w:style>
  <w:style w:type="character" w:customStyle="1" w:styleId="40">
    <w:name w:val="一级特性1 Char"/>
    <w:basedOn w:val="41"/>
    <w:link w:val="38"/>
    <w:qFormat/>
    <w:uiPriority w:val="0"/>
  </w:style>
  <w:style w:type="character" w:customStyle="1" w:styleId="41">
    <w:name w:val="列表段落 字符"/>
    <w:basedOn w:val="25"/>
    <w:link w:val="35"/>
    <w:qFormat/>
    <w:uiPriority w:val="99"/>
  </w:style>
  <w:style w:type="character" w:customStyle="1" w:styleId="42">
    <w:name w:val="标题 4 字符"/>
    <w:link w:val="7"/>
    <w:qFormat/>
    <w:uiPriority w:val="0"/>
    <w:rPr>
      <w:rFonts w:ascii="Arial" w:hAnsi="Arial"/>
      <w:sz w:val="24"/>
    </w:rPr>
  </w:style>
  <w:style w:type="character" w:customStyle="1" w:styleId="43">
    <w:name w:val="标题 5 字符"/>
    <w:link w:val="8"/>
    <w:qFormat/>
    <w:uiPriority w:val="0"/>
    <w:rPr>
      <w:rFonts w:ascii="Arial" w:hAnsi="Arial" w:eastAsia="黑体"/>
      <w:sz w:val="21"/>
    </w:rPr>
  </w:style>
  <w:style w:type="character" w:customStyle="1" w:styleId="44">
    <w:name w:val="标题 1 字符"/>
    <w:link w:val="3"/>
    <w:qFormat/>
    <w:uiPriority w:val="0"/>
    <w:rPr>
      <w:rFonts w:eastAsia="黑体" w:asciiTheme="majorHAnsi" w:hAnsiTheme="majorHAnsi"/>
      <w:kern w:val="44"/>
      <w:sz w:val="32"/>
    </w:rPr>
  </w:style>
  <w:style w:type="character" w:customStyle="1" w:styleId="45">
    <w:name w:val="标题 2 字符"/>
    <w:link w:val="5"/>
    <w:qFormat/>
    <w:uiPriority w:val="0"/>
    <w:rPr>
      <w:rFonts w:ascii="Arial" w:hAnsi="Arial"/>
      <w:sz w:val="30"/>
    </w:rPr>
  </w:style>
  <w:style w:type="paragraph" w:customStyle="1" w:styleId="46">
    <w:name w:val="列出段落1"/>
    <w:basedOn w:val="1"/>
    <w:qFormat/>
    <w:uiPriority w:val="0"/>
    <w:pPr>
      <w:ind w:firstLine="420"/>
    </w:pPr>
    <w:rPr>
      <w:szCs w:val="24"/>
    </w:rPr>
  </w:style>
  <w:style w:type="paragraph" w:customStyle="1" w:styleId="47">
    <w:name w:val="_Style 2"/>
    <w:basedOn w:val="1"/>
    <w:qFormat/>
    <w:uiPriority w:val="0"/>
    <w:pPr>
      <w:ind w:firstLine="420"/>
    </w:pPr>
    <w:rPr>
      <w:rFonts w:ascii="Calibri" w:hAnsi="Calibri"/>
    </w:rPr>
  </w:style>
  <w:style w:type="paragraph" w:customStyle="1" w:styleId="48">
    <w:name w:val="列出段落2"/>
    <w:basedOn w:val="1"/>
    <w:qFormat/>
    <w:uiPriority w:val="34"/>
    <w:pPr>
      <w:ind w:firstLine="420"/>
    </w:pPr>
  </w:style>
  <w:style w:type="paragraph" w:customStyle="1" w:styleId="49">
    <w:name w:val="标题1"/>
    <w:basedOn w:val="1"/>
    <w:next w:val="1"/>
    <w:qFormat/>
    <w:uiPriority w:val="0"/>
    <w:pPr>
      <w:keepNext/>
      <w:keepLines/>
      <w:pageBreakBefore/>
      <w:numPr>
        <w:ilvl w:val="0"/>
        <w:numId w:val="6"/>
      </w:numPr>
      <w:snapToGrid w:val="0"/>
      <w:spacing w:line="300" w:lineRule="auto"/>
      <w:ind w:firstLine="0" w:firstLineChars="0"/>
      <w:jc w:val="center"/>
      <w:textAlignment w:val="baseline"/>
      <w:outlineLvl w:val="0"/>
    </w:pPr>
    <w:rPr>
      <w:rFonts w:eastAsia="黑体"/>
      <w:b/>
      <w:bCs/>
      <w:kern w:val="44"/>
      <w:sz w:val="44"/>
      <w:szCs w:val="32"/>
    </w:rPr>
  </w:style>
  <w:style w:type="paragraph" w:customStyle="1" w:styleId="50">
    <w:name w:val="方案正文"/>
    <w:basedOn w:val="20"/>
    <w:qFormat/>
    <w:uiPriority w:val="0"/>
    <w:pPr>
      <w:ind w:left="0" w:firstLine="480" w:firstLineChars="200"/>
      <w:contextualSpacing w:val="0"/>
    </w:pPr>
    <w:rPr>
      <w:rFonts w:cs="Arial"/>
      <w:szCs w:val="20"/>
      <w:lang w:val="zh-CN"/>
    </w:rPr>
  </w:style>
  <w:style w:type="paragraph" w:customStyle="1" w:styleId="51">
    <w:name w:val="表格"/>
    <w:basedOn w:val="1"/>
    <w:qFormat/>
    <w:uiPriority w:val="0"/>
    <w:pPr>
      <w:spacing w:line="240" w:lineRule="auto"/>
      <w:ind w:firstLine="0" w:firstLineChars="0"/>
    </w:pPr>
    <w:rPr>
      <w:rFonts w:cs="宋体" w:asciiTheme="minorHAnsi" w:hAnsiTheme="minorHAnsi"/>
      <w:color w:val="000000"/>
      <w:sz w:val="18"/>
      <w:szCs w:val="24"/>
    </w:rPr>
  </w:style>
  <w:style w:type="paragraph" w:customStyle="1" w:styleId="52">
    <w:name w:val="TOC Heading"/>
    <w:basedOn w:val="3"/>
    <w:next w:val="1"/>
    <w:unhideWhenUsed/>
    <w:qFormat/>
    <w:uiPriority w:val="39"/>
    <w:pPr>
      <w:widowControl/>
      <w:numPr>
        <w:numId w:val="0"/>
      </w:numPr>
      <w:tabs>
        <w:tab w:val="clear" w:pos="420"/>
      </w:tabs>
      <w:autoSpaceDE/>
      <w:autoSpaceDN/>
      <w:adjustRightInd/>
      <w:spacing w:before="240" w:after="0" w:line="259" w:lineRule="auto"/>
      <w:outlineLvl w:val="9"/>
    </w:pPr>
    <w:rPr>
      <w:rFonts w:eastAsiaTheme="majorEastAsia"/>
      <w:bCs w:val="0"/>
      <w:snapToGrid/>
      <w:color w:val="2E75B6" w:themeColor="accent1" w:themeShade="BF"/>
      <w:kern w:val="0"/>
    </w:rPr>
  </w:style>
  <w:style w:type="character" w:customStyle="1" w:styleId="53">
    <w:name w:val="fontstyle01"/>
    <w:basedOn w:val="25"/>
    <w:qFormat/>
    <w:uiPriority w:val="0"/>
    <w:rPr>
      <w:rFonts w:hint="default" w:ascii="TimesNewRomanPSMT" w:hAnsi="TimesNewRomanPSMT"/>
      <w:color w:val="000000"/>
      <w:sz w:val="32"/>
      <w:szCs w:val="32"/>
    </w:rPr>
  </w:style>
  <w:style w:type="character" w:customStyle="1" w:styleId="54">
    <w:name w:val="fontstyle21"/>
    <w:basedOn w:val="25"/>
    <w:qFormat/>
    <w:uiPriority w:val="0"/>
    <w:rPr>
      <w:rFonts w:hint="eastAsia" w:ascii="仿宋" w:hAnsi="仿宋" w:eastAsia="仿宋"/>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1953</Words>
  <Characters>11136</Characters>
  <Lines>92</Lines>
  <Paragraphs>26</Paragraphs>
  <TotalTime>16</TotalTime>
  <ScaleCrop>false</ScaleCrop>
  <LinksUpToDate>false</LinksUpToDate>
  <CharactersWithSpaces>13063</CharactersWithSpaces>
  <Application>WPS Office_11.8.2.1111_F1E327BC-269C-435d-A152-05C5408002CA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2023-07-14T06:30:00Z</dcterms:created>
  <dc:creator>Administrator</dc:creator>
  <cp:lastModifiedBy>user</cp:lastModifiedBy>
  <dcterms:modified xsi:type="dcterms:W3CDTF">2024-04-08T15:27:12Z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y fmtid="{D5CDD505-2E9C-101B-9397-08002B2CF9AE}" pid="3" name="ICV">
    <vt:lpwstr>9931D776AABF4765992C34245D71DB3E</vt:lpwstr>
  </property>
</Properties>
</file>