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lang w:val="en-US" w:eastAsia="zh-CN"/>
        </w:rPr>
        <w:t>达州市智慧住建</w:t>
      </w:r>
      <w:r>
        <w:rPr>
          <w:rFonts w:hint="eastAsia" w:ascii="方正小标宋简体" w:eastAsia="方正小标宋简体"/>
          <w:sz w:val="44"/>
          <w:szCs w:val="44"/>
        </w:rPr>
        <w:t>平台功能需求</w:t>
      </w:r>
    </w:p>
    <w:p>
      <w:r>
        <w:rPr>
          <w:rFonts w:hint="eastAsia" w:ascii="仿宋_GB2312" w:hAnsi="仿宋_GB2312" w:cs="仿宋_GB2312"/>
          <w:szCs w:val="32"/>
        </w:rPr>
        <w:t xml:space="preserve"> </w:t>
      </w:r>
      <w:r>
        <w:rPr>
          <w:rFonts w:ascii="仿宋_GB2312" w:hAnsi="仿宋_GB2312" w:cs="仿宋_GB2312"/>
          <w:szCs w:val="32"/>
        </w:rPr>
        <w:t xml:space="preserve">   </w:t>
      </w:r>
      <w:r>
        <w:rPr>
          <w:rFonts w:hint="eastAsia" w:ascii="仿宋_GB2312" w:hAnsi="仿宋_GB2312" w:eastAsia="仿宋_GB2312" w:cs="仿宋_GB2312"/>
          <w:kern w:val="2"/>
          <w:sz w:val="32"/>
          <w:szCs w:val="32"/>
          <w:lang w:val="en-US" w:eastAsia="zh-CN" w:bidi="ar-SA"/>
        </w:rPr>
        <w:t>为推动达州市建筑行业智能、高效、绿色发展，助力“智慧达州”城市建设，实现施工现场监管“数据一个库、监管一张网、管理一条线”，根据国务院办公厅《关于促进建筑业持续健康发展的意见》（国办发〔2017〕19号）、住建部《关于印发2016-2020年建筑业信息化发展纲要的通知》（建质函〔2016〕183号）、省住建厅《关于进一步加强建筑工人实名制管理工作的通知》（川建建发〔2020〕332号）和《关于推进建筑工程扬尘（噪声）在线监测管理的通知》（川建质安发〔2020〕328号）要求，结合我市“智慧住建”信息化建设实际，</w:t>
      </w:r>
      <w:r>
        <w:rPr>
          <w:rFonts w:hint="eastAsia" w:ascii="仿宋_GB2312" w:hAnsi="仿宋_GB2312" w:cs="仿宋_GB2312"/>
          <w:kern w:val="2"/>
          <w:sz w:val="32"/>
          <w:szCs w:val="32"/>
          <w:lang w:val="en-US" w:eastAsia="zh-CN" w:bidi="ar-SA"/>
        </w:rPr>
        <w:t>目前，迫切需要建设的内容</w:t>
      </w:r>
      <w:r>
        <w:rPr>
          <w:rFonts w:hint="eastAsia" w:ascii="仿宋_GB2312" w:hAnsi="仿宋"/>
          <w:color w:val="000000" w:themeColor="text1"/>
          <w:spacing w:val="-2"/>
          <w:szCs w:val="32"/>
          <w14:textFill>
            <w14:solidFill>
              <w14:schemeClr w14:val="tx1"/>
            </w14:solidFill>
          </w14:textFill>
        </w:rPr>
        <w:t>具体如下：</w:t>
      </w:r>
    </w:p>
    <w:tbl>
      <w:tblPr>
        <w:tblStyle w:val="13"/>
        <w:tblW w:w="13887" w:type="dxa"/>
        <w:tblInd w:w="0" w:type="dxa"/>
        <w:tblLayout w:type="autofit"/>
        <w:tblCellMar>
          <w:top w:w="0" w:type="dxa"/>
          <w:left w:w="108" w:type="dxa"/>
          <w:bottom w:w="0" w:type="dxa"/>
          <w:right w:w="108" w:type="dxa"/>
        </w:tblCellMar>
      </w:tblPr>
      <w:tblGrid>
        <w:gridCol w:w="560"/>
        <w:gridCol w:w="845"/>
        <w:gridCol w:w="1265"/>
        <w:gridCol w:w="1268"/>
        <w:gridCol w:w="1551"/>
        <w:gridCol w:w="565"/>
        <w:gridCol w:w="636"/>
        <w:gridCol w:w="7197"/>
      </w:tblGrid>
      <w:tr>
        <w:tblPrEx>
          <w:tblCellMar>
            <w:top w:w="0" w:type="dxa"/>
            <w:left w:w="108" w:type="dxa"/>
            <w:bottom w:w="0" w:type="dxa"/>
            <w:right w:w="108" w:type="dxa"/>
          </w:tblCellMar>
        </w:tblPrEx>
        <w:trPr>
          <w:trHeight w:val="504"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序号</w:t>
            </w:r>
          </w:p>
        </w:tc>
        <w:tc>
          <w:tcPr>
            <w:tcW w:w="8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平台类别</w:t>
            </w:r>
          </w:p>
        </w:tc>
        <w:tc>
          <w:tcPr>
            <w:tcW w:w="12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应用分类</w:t>
            </w:r>
          </w:p>
        </w:tc>
        <w:tc>
          <w:tcPr>
            <w:tcW w:w="126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功能模块</w:t>
            </w:r>
          </w:p>
        </w:tc>
        <w:tc>
          <w:tcPr>
            <w:tcW w:w="15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功能子模块</w:t>
            </w:r>
          </w:p>
        </w:tc>
        <w:tc>
          <w:tcPr>
            <w:tcW w:w="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单位</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数量</w:t>
            </w:r>
          </w:p>
        </w:tc>
        <w:tc>
          <w:tcPr>
            <w:tcW w:w="71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right="-1245" w:rightChars="-389"/>
              <w:jc w:val="left"/>
              <w:rPr>
                <w:rFonts w:ascii="仿宋_GB2312" w:hAnsi="宋体" w:cs="宋体"/>
                <w:b/>
                <w:bCs/>
                <w:color w:val="000000"/>
                <w:kern w:val="0"/>
                <w:sz w:val="21"/>
                <w:szCs w:val="21"/>
              </w:rPr>
            </w:pPr>
            <w:r>
              <w:rPr>
                <w:rFonts w:hint="eastAsia" w:ascii="仿宋_GB2312" w:hAnsi="宋体" w:cs="宋体"/>
                <w:b/>
                <w:bCs/>
                <w:color w:val="000000"/>
                <w:kern w:val="0"/>
                <w:sz w:val="21"/>
                <w:szCs w:val="21"/>
              </w:rPr>
              <w:t>功能介绍</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845"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基础支撑</w:t>
            </w:r>
          </w:p>
        </w:tc>
        <w:tc>
          <w:tcPr>
            <w:tcW w:w="1265"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文</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明</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施</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工</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综</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合</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监</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管</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系</w:t>
            </w:r>
          </w:p>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统</w:t>
            </w:r>
          </w:p>
        </w:tc>
        <w:tc>
          <w:tcPr>
            <w:tcW w:w="126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办事门户</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仿宋_GB2312" w:hAnsi="等线" w:cs="宋体"/>
                <w:color w:val="000000"/>
                <w:kern w:val="0"/>
                <w:sz w:val="21"/>
                <w:szCs w:val="21"/>
              </w:rPr>
            </w:pPr>
            <w:r>
              <w:rPr>
                <w:rFonts w:hint="eastAsia" w:ascii="仿宋_GB2312" w:hAnsi="等线" w:cs="宋体"/>
                <w:color w:val="000000"/>
                <w:kern w:val="0"/>
                <w:sz w:val="21"/>
                <w:szCs w:val="21"/>
              </w:rPr>
              <w:t>门户网站是连接达州市住建监管部门和施工单位、建设单位和公众之间的通道。一头连接监管部门发布建设政策及动态信息；一头连接施工单位、建设单位和公众，提供网上服务，企业和个人可以实现网上申报、网上办事，主管部门处理后在网上公布办理审批情况；企业及个人用户可登录网站后台查看结果。</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2</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GIS地理分布</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仿宋_GB2312" w:hAnsi="等线" w:cs="宋体"/>
                <w:color w:val="000000"/>
                <w:kern w:val="0"/>
                <w:sz w:val="21"/>
                <w:szCs w:val="21"/>
              </w:rPr>
            </w:pPr>
            <w:r>
              <w:rPr>
                <w:rFonts w:hint="eastAsia" w:ascii="仿宋_GB2312" w:hAnsi="等线" w:cs="宋体"/>
                <w:color w:val="000000"/>
                <w:kern w:val="0"/>
                <w:sz w:val="21"/>
                <w:szCs w:val="21"/>
              </w:rPr>
              <w:t>理分布功能融合 GIS 地图，以直观、简捷的电子地图形式展示达州市所有工程项目的地理位置查询，方便监督抽查、监督巡检、监督抽测，电子地图系统能定义工程的位置，能与监督系统的工程状态进行关联，有在建、整改，停工、竣工状态、不同的状态要求显示的图标不同。便于建设主管部门及时了解工程最新的情况，从而能方便用户更全面、更方便地从平台获取所关心的信息，进一步的分析并及时采取响应措施。</w:t>
            </w:r>
          </w:p>
        </w:tc>
      </w:tr>
      <w:tr>
        <w:tblPrEx>
          <w:tblCellMar>
            <w:top w:w="0" w:type="dxa"/>
            <w:left w:w="108" w:type="dxa"/>
            <w:bottom w:w="0" w:type="dxa"/>
            <w:right w:w="108" w:type="dxa"/>
          </w:tblCellMar>
        </w:tblPrEx>
        <w:trPr>
          <w:trHeight w:val="144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3</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工程项目分布</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平台基于 GIS 地图，标注全市工程项目位置，以直观、简捷的电子地图形式提供工程项目的分布情况、问题工程的分布情况。</w:t>
            </w:r>
          </w:p>
          <w:p>
            <w:pPr>
              <w:widowControl/>
              <w:spacing w:line="240" w:lineRule="exact"/>
              <w:jc w:val="both"/>
              <w:rPr>
                <w:rFonts w:ascii="仿宋_GB2312" w:hAnsi="等线" w:cs="宋体"/>
                <w:color w:val="000000"/>
                <w:kern w:val="0"/>
                <w:sz w:val="21"/>
                <w:szCs w:val="21"/>
              </w:rPr>
            </w:pPr>
            <w:r>
              <w:rPr>
                <w:rFonts w:hint="eastAsia" w:ascii="仿宋_GB2312" w:hAnsi="等线" w:cs="宋体"/>
                <w:color w:val="000000"/>
                <w:kern w:val="0"/>
                <w:sz w:val="21"/>
                <w:szCs w:val="21"/>
              </w:rPr>
              <w:t>以工程项目为主线，查询该工程项目的项目简介、现场图片、施工进度、工程概况、形象进度、工地视频、夜间施工、绿色施工、执法情况、扬尘噪声、奖惩情况、诚信评价。</w:t>
            </w:r>
          </w:p>
        </w:tc>
      </w:tr>
      <w:tr>
        <w:tblPrEx>
          <w:tblCellMar>
            <w:top w:w="0" w:type="dxa"/>
            <w:left w:w="108" w:type="dxa"/>
            <w:bottom w:w="0" w:type="dxa"/>
            <w:right w:w="108" w:type="dxa"/>
          </w:tblCellMar>
        </w:tblPrEx>
        <w:trPr>
          <w:trHeight w:val="120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4</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建筑行业企业诚信管理</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ascii="仿宋_GB2312" w:hAnsi="等线" w:cs="宋体"/>
                <w:color w:val="000000"/>
                <w:kern w:val="0"/>
                <w:sz w:val="21"/>
                <w:szCs w:val="21"/>
              </w:rPr>
            </w:pPr>
            <w:r>
              <w:rPr>
                <w:rFonts w:hint="eastAsia" w:ascii="仿宋_GB2312" w:hAnsi="等线" w:cs="宋体"/>
                <w:color w:val="000000"/>
                <w:kern w:val="0"/>
                <w:sz w:val="21"/>
                <w:szCs w:val="21"/>
              </w:rPr>
              <w:t>建筑行业企业诚信评价主要功能是对达州市的在建工程、以及各类企业的主体行为进行监督，量化评分，并将诚信评分信息，并分类展示。同时对监管过程发现的不诚信企业实施诚信扣分或不规范行为上报，从而规范企业行为，净化市场，实现建筑市场和施工现场的联动，形成相互促进的良性循环。有利于引导建筑业企业注重标后管理，对促进建筑业发展和工程建设水平的提高具有积极意义。</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5</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建筑企业诚信档案管理</w:t>
            </w:r>
          </w:p>
        </w:tc>
        <w:tc>
          <w:tcPr>
            <w:tcW w:w="15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w:t>
            </w:r>
          </w:p>
        </w:tc>
        <w:tc>
          <w:tcPr>
            <w:tcW w:w="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诚信档案基本信息登记：主要内容包含企业基本信息登记、人员基本信息登记、项目信息登记，三者之间相互穿插关联，在诚信评价体系中展现；</w:t>
            </w:r>
          </w:p>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诚信档案审核：各级建设行政主管部门对企业提交的申报资料进行审核管理，当主管部门审核合格后，相关信息成为有效的信息数据存档；对于资料齐全，录入信息完整的，建设行政主管部门受理之日起10个工作日内完成审核工作。</w:t>
            </w:r>
          </w:p>
          <w:p>
            <w:pPr>
              <w:widowControl/>
              <w:spacing w:line="240" w:lineRule="exact"/>
              <w:jc w:val="both"/>
              <w:rPr>
                <w:rFonts w:ascii="仿宋_GB2312" w:hAnsi="等线" w:cs="宋体"/>
                <w:color w:val="000000"/>
                <w:kern w:val="0"/>
                <w:sz w:val="21"/>
                <w:szCs w:val="21"/>
              </w:rPr>
            </w:pPr>
            <w:r>
              <w:rPr>
                <w:rFonts w:hint="eastAsia" w:ascii="仿宋_GB2312" w:hAnsi="等线" w:cs="宋体"/>
                <w:color w:val="000000"/>
                <w:kern w:val="0"/>
                <w:sz w:val="21"/>
                <w:szCs w:val="21"/>
              </w:rPr>
              <w:t>诚信档案登记变更：诚信登记变更包括企业基本信息及人员基本信息的变更，由企业自行办理，并确保资料真实有效。</w:t>
            </w:r>
          </w:p>
        </w:tc>
      </w:tr>
      <w:tr>
        <w:tblPrEx>
          <w:tblCellMar>
            <w:top w:w="0" w:type="dxa"/>
            <w:left w:w="108" w:type="dxa"/>
            <w:bottom w:w="0" w:type="dxa"/>
            <w:right w:w="108" w:type="dxa"/>
          </w:tblCellMar>
        </w:tblPrEx>
        <w:trPr>
          <w:trHeight w:val="120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6</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建筑企业市场行为监管</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①企业及人员锁定及解锁</w:t>
            </w:r>
          </w:p>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企业锁定及解锁：在诚信评价系统使用管理过程中，各级建设行政主管部门需对企业进行锁定及解锁功能，是主管部门行使管理职能的抓手；</w:t>
            </w:r>
          </w:p>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人员锁定及解锁：在诚信评价系统使用管理过程中，各级建设行政主管部门需对人员进行锁定及解锁功能，特别在招投标阶段，以保证招投标过程的合法性、公正性。</w:t>
            </w:r>
          </w:p>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②企业或个人诚信加分及扣分标准</w:t>
            </w:r>
          </w:p>
          <w:p>
            <w:pPr>
              <w:widowControl/>
              <w:spacing w:line="240" w:lineRule="exact"/>
              <w:jc w:val="both"/>
              <w:rPr>
                <w:rFonts w:ascii="仿宋_GB2312" w:hAnsi="等线" w:cs="宋体"/>
                <w:color w:val="000000"/>
                <w:kern w:val="0"/>
                <w:sz w:val="21"/>
                <w:szCs w:val="21"/>
              </w:rPr>
            </w:pPr>
            <w:r>
              <w:rPr>
                <w:rFonts w:hint="eastAsia" w:ascii="仿宋_GB2312" w:hAnsi="等线" w:cs="宋体"/>
                <w:color w:val="000000"/>
                <w:kern w:val="0"/>
                <w:sz w:val="21"/>
                <w:szCs w:val="21"/>
              </w:rPr>
              <w:t>建筑行业企业诚信综合评价体系按不同类型企业分类建立企业诚信加扣分的标准化体系管理。企业在日常业务经营、质量安全管理等方面受到表扬奖励的，可向各级建设行政主管部门申请诚信加分；企业受到批评处罚的，由各级建设行政主管部门对照相应的扣分标准，对企业进行诚信扣分。在达州市行政区域内，按照“谁奖励，谁加分；谁处罚，谁扣分”的原则执行。诚信加分、扣分均设置有效期，当有效期届满时，原诚信加分、扣分值自动失效。</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7</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系统查询</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提供查询平台，可查看自由组合条件对整个诚信中心数据库进行授权查询等等。</w:t>
            </w:r>
          </w:p>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①企业情况统计查询：对各类企业进行进行查询和汇总；</w:t>
            </w:r>
          </w:p>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②人员查询：对整个系统的各类人员进行统计及查询；</w:t>
            </w:r>
          </w:p>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③项目查询：对各类项目业绩进行查询及统计；</w:t>
            </w:r>
          </w:p>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④企业诚信评价查询：包括对各类企业的实时动态分值进行分类查询、对各类企业的历史考评进行查询；</w:t>
            </w:r>
          </w:p>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⑤企业人员锁定及解锁查询；</w:t>
            </w:r>
          </w:p>
          <w:p>
            <w:pPr>
              <w:widowControl/>
              <w:spacing w:line="240" w:lineRule="exact"/>
              <w:jc w:val="both"/>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rPr>
              <w:t>⑥企业奖惩情况统计及查询等等</w:t>
            </w:r>
            <w:r>
              <w:rPr>
                <w:rFonts w:hint="eastAsia" w:ascii="仿宋_GB2312" w:hAnsi="等线" w:cs="宋体"/>
                <w:color w:val="000000"/>
                <w:kern w:val="0"/>
                <w:sz w:val="21"/>
                <w:szCs w:val="21"/>
                <w:lang w:eastAsia="zh-CN"/>
              </w:rPr>
              <w:t>。</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8</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统计分析</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通过该模块功能进行对大量复杂的信息进行分类汇总、查询统计，使相关管理部门能够多角度、多方位及时掌握工程动态，科学决策。</w:t>
            </w:r>
          </w:p>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统计查询可以是固定报表式，也可以是任意查询方式，可以按工程统计相关档案信息、按科室或人员统计工作量信息等。</w:t>
            </w:r>
          </w:p>
          <w:p>
            <w:pPr>
              <w:widowControl/>
              <w:spacing w:line="240" w:lineRule="exact"/>
              <w:jc w:val="both"/>
              <w:rPr>
                <w:rFonts w:ascii="仿宋_GB2312" w:hAnsi="等线" w:cs="宋体"/>
                <w:color w:val="000000"/>
                <w:kern w:val="0"/>
                <w:sz w:val="21"/>
                <w:szCs w:val="21"/>
              </w:rPr>
            </w:pPr>
            <w:r>
              <w:rPr>
                <w:rFonts w:hint="eastAsia" w:ascii="仿宋_GB2312" w:hAnsi="等线" w:cs="宋体"/>
                <w:color w:val="000000"/>
                <w:kern w:val="0"/>
                <w:sz w:val="21"/>
                <w:szCs w:val="21"/>
              </w:rPr>
              <w:t>统计分析可按照周、月、年度或指定某一时间段设置，对具体某项工程或某区域进行综合数据统计、趋势分析等。</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9</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工程进度汇总</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lang w:val="en-US" w:eastAsia="zh-CN"/>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仿宋_GB2312" w:hAnsi="等线" w:cs="宋体"/>
                <w:color w:val="000000"/>
                <w:kern w:val="0"/>
                <w:sz w:val="21"/>
                <w:szCs w:val="21"/>
              </w:rPr>
            </w:pPr>
            <w:r>
              <w:rPr>
                <w:rFonts w:hint="eastAsia" w:ascii="仿宋_GB2312" w:hAnsi="等线" w:cs="宋体"/>
                <w:color w:val="000000"/>
                <w:kern w:val="0"/>
                <w:sz w:val="21"/>
                <w:szCs w:val="21"/>
              </w:rPr>
              <w:t>实现工程数量信息的统计，此部分需要按工程状态（未开工工程、在建工程、停工工程和完工工程）来分类。</w:t>
            </w:r>
          </w:p>
        </w:tc>
      </w:tr>
      <w:tr>
        <w:tblPrEx>
          <w:tblCellMar>
            <w:top w:w="0" w:type="dxa"/>
            <w:left w:w="108" w:type="dxa"/>
            <w:bottom w:w="0" w:type="dxa"/>
            <w:right w:w="108" w:type="dxa"/>
          </w:tblCellMar>
        </w:tblPrEx>
        <w:trPr>
          <w:trHeight w:val="60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10</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月/季/年度统计报表</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lang w:val="en-US" w:eastAsia="zh-CN"/>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实现工程质量安全季度监督情况的统计，形成月度</w:t>
            </w:r>
            <w:r>
              <w:rPr>
                <w:rFonts w:hint="eastAsia" w:ascii="仿宋_GB2312" w:hAnsi="等线" w:cs="宋体"/>
                <w:color w:val="000000"/>
                <w:kern w:val="0"/>
                <w:sz w:val="21"/>
                <w:szCs w:val="21"/>
                <w:lang w:eastAsia="zh-CN"/>
              </w:rPr>
              <w:t>、</w:t>
            </w:r>
            <w:r>
              <w:rPr>
                <w:rFonts w:hint="eastAsia" w:ascii="仿宋_GB2312" w:hAnsi="等线" w:cs="宋体"/>
                <w:color w:val="000000"/>
                <w:kern w:val="0"/>
                <w:sz w:val="21"/>
                <w:szCs w:val="21"/>
              </w:rPr>
              <w:t>季度、年度报表。</w:t>
            </w:r>
          </w:p>
        </w:tc>
      </w:tr>
      <w:tr>
        <w:tblPrEx>
          <w:tblCellMar>
            <w:top w:w="0" w:type="dxa"/>
            <w:left w:w="108" w:type="dxa"/>
            <w:bottom w:w="0" w:type="dxa"/>
            <w:right w:w="108" w:type="dxa"/>
          </w:tblCellMar>
        </w:tblPrEx>
        <w:trPr>
          <w:trHeight w:val="514"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11</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监督执法汇总</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lang w:val="en-US" w:eastAsia="zh-CN"/>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实现监督员监督执法时各类监督执法情况的统计，形成各类监督巡查台帐。</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12</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动态扣分汇总</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实现从交换数据中获取项目动态扣分数据，统计项目动态扣分情况。</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13</w:t>
            </w:r>
          </w:p>
        </w:tc>
        <w:tc>
          <w:tcPr>
            <w:tcW w:w="84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不规范行为汇总</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实现监督过程中发现的不规范行为信息的统计。</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14</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系统管理</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系统管理主要是实现用户角色和权限、用户账号、系统监控、系统日志、系统备份和恢复等管理。</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15</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26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系统监控</w:t>
            </w:r>
          </w:p>
        </w:tc>
        <w:tc>
          <w:tcPr>
            <w:tcW w:w="15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lang w:val="en-US" w:eastAsia="zh-CN"/>
              </w:rPr>
              <w:t>/</w:t>
            </w:r>
          </w:p>
        </w:tc>
        <w:tc>
          <w:tcPr>
            <w:tcW w:w="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根据统计分析，本系统数据量十分庞大，要保障系统的稳定正常运行，除了系统运行功能按需要开启或关闭外，还必须对系统的运行情况进行实时监控，主要监控：服务器 CPU 和内存使用情况、网络带宽占用率以及当前在线用户、访问并发量等情况，同时对用户操作引起的数据阻塞等情况提供警报，对于系统错误提供错误日志，为进一步改进系统的性能和稳定性提供依据。</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16</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日志管理</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rPr>
              <w:t>日志的收集、分析、监控。不同业务系统的日志的统一采集，将需要采集的业务系统接入进来，并且在业务系统端主动发送相关的日志信息给日志采集组件。日志的查看，通过BAM的rest接口获取实时日志，并且可以支持日志的分析</w:t>
            </w:r>
            <w:r>
              <w:rPr>
                <w:rFonts w:hint="eastAsia" w:ascii="仿宋_GB2312" w:hAnsi="等线" w:cs="宋体"/>
                <w:color w:val="000000"/>
                <w:kern w:val="0"/>
                <w:sz w:val="21"/>
                <w:szCs w:val="21"/>
                <w:lang w:eastAsia="zh-CN"/>
              </w:rPr>
              <w:t>。</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17</w:t>
            </w:r>
          </w:p>
        </w:tc>
        <w:tc>
          <w:tcPr>
            <w:tcW w:w="845"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数据备份及恢复</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 xml:space="preserve"> 数据库的备份恢复技术对于数据库的安全性是非常重要的，系统在运行过程中往往由于服务器主机的机器故障、磁盘阵列的介质故障、一些人为的误操作等导致数据的破坏、丢失、以及系统的崩溃。</w:t>
            </w:r>
          </w:p>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1.备份策略的制定</w:t>
            </w:r>
          </w:p>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备份策略的制定：一个好的备份策略会使数据得到很好的保护，并且在灾难发生的时候能够尽量少地减少数据丢失。在这个方案中，根据用户的数据量，我们可以制定如下的备份策略。</w:t>
            </w:r>
          </w:p>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数据量少时，我们可以每次都用全备份备份数据，这样恢复时，只需要指定一个数据源即可。</w:t>
            </w:r>
          </w:p>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数据量大时，如果每天作全备份，效率会很低。我们可以结合全备份和增量备份方式。比如每星期作一次全备份（如星期天），其它时间，每天作一个增量备份（如:星期一到星期六）。恢复时，只要依次恢复最多七个备份介质即可。（如：上周日、星期一、星期二 ...，直到出事前一天的数据。）</w:t>
            </w:r>
          </w:p>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数据量特别大时，每星期作全备份对系统的压力也会很大。这时，我们可以结合全备份、累计增量备份、增量备份三种方式，提供相对效率高，恢复有快的备份手段。比如每个月作一次全备份（如每月初），然后每星期日作一次累计增量备份，其它时间，每天作一次增量备份。恢复时，先恢复月初的全备份，再 恢复上周日的累计增量备份，在依次恢复以后每一天的增量备份，如星期一、 星期二 ...，直到出事前一天的数据。（最多恢复 8 份数据，相对的如果不采用累计增量备份方式，恢复时最多可能需要恢复 31 份数据，恢复速度和复杂程度 都会不理想）。</w:t>
            </w:r>
          </w:p>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由此我们认为，在条件许可的情况下，对系统进行每日完全备份是必要的，可以更好的提高系统的安全性和可靠性。具体备份策略可根据实际情况制订。</w:t>
            </w:r>
          </w:p>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2.数据库服务器的备份策略</w:t>
            </w:r>
          </w:p>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每日备份数据库系统的数据部分，在周一到周五对数据库作差量备份，在周六对数据库作全备份；建议在差量备份之间作一次或者多次的 LOG 备份。这样就可以在发生故障的时候快速有效的进行恢复。</w:t>
            </w:r>
          </w:p>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根据你的数据要保存的时间，设置相关磁带的循环周期。当数据库系统的数据部分出现人为或意外的丢失或损毁时，用最数据库系统的数据部分倒回系统，覆盖旧的数据库系统的数据部分即可恢复。</w:t>
            </w:r>
          </w:p>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3.恢复策略的制定</w:t>
            </w:r>
          </w:p>
          <w:p>
            <w:pPr>
              <w:widowControl/>
              <w:spacing w:line="240" w:lineRule="exact"/>
              <w:jc w:val="both"/>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rPr>
              <w:t>恢复策略：当服务器发生系统或者是硬件故障时，可以通过这个功能快速地恢复服务器的系统及相关的应用。当数据库发生故障时，可以通过最近的备份进行恢复，使数据恢复到最近的状态，如全备份增量备份等</w:t>
            </w:r>
            <w:r>
              <w:rPr>
                <w:rFonts w:hint="eastAsia" w:ascii="仿宋_GB2312" w:hAnsi="等线" w:cs="宋体"/>
                <w:color w:val="000000"/>
                <w:kern w:val="0"/>
                <w:sz w:val="21"/>
                <w:szCs w:val="21"/>
                <w:lang w:eastAsia="zh-CN"/>
              </w:rPr>
              <w:t>。</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rPr>
              <w:t>1</w:t>
            </w:r>
            <w:r>
              <w:rPr>
                <w:rFonts w:hint="eastAsia" w:ascii="仿宋_GB2312" w:hAnsi="等线" w:cs="宋体"/>
                <w:color w:val="000000"/>
                <w:kern w:val="0"/>
                <w:sz w:val="21"/>
                <w:szCs w:val="21"/>
                <w:lang w:val="en-US" w:eastAsia="zh-CN"/>
              </w:rPr>
              <w:t>8</w:t>
            </w:r>
          </w:p>
        </w:tc>
        <w:tc>
          <w:tcPr>
            <w:tcW w:w="845"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应用系统</w:t>
            </w:r>
          </w:p>
        </w:tc>
        <w:tc>
          <w:tcPr>
            <w:tcW w:w="1265"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扬</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尘</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噪</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声</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监</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控</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系</w:t>
            </w:r>
          </w:p>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统</w:t>
            </w: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电子地图呈现功能</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可结合电子地图确切的知道每个设备所在位置，通过点击电子地图上的设备图标可以查看设备所带各项传感器的采集值。</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19</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数据图形曲线显示功能</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查看实时噪声值和实时曲线，可以实现多个监测点对比查看，直观了解个点监测数据，各区域噪声环境污染情况等信息。</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20</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气象监控数据动态实时显示</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监控数据汇总并实时动态显示，可了解监测点位的所有信息。</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21</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多种历史数据查询功能</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扬尘历史查询</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以表格的形式查询历史扬尘值，（可以选择以小时平均值或者日平均值来查看）。</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22</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噪声历史查询</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以表格的形式查询历史噪声值，（可以选择以小时平均值、昼间平均值、夜间平均值或者日平均值来查看）。</w:t>
            </w:r>
          </w:p>
        </w:tc>
      </w:tr>
      <w:tr>
        <w:tblPrEx>
          <w:tblCellMar>
            <w:top w:w="0" w:type="dxa"/>
            <w:left w:w="108" w:type="dxa"/>
            <w:bottom w:w="0" w:type="dxa"/>
            <w:right w:w="108" w:type="dxa"/>
          </w:tblCellMar>
        </w:tblPrEx>
        <w:trPr>
          <w:trHeight w:val="47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23</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lang w:val="en-US" w:eastAsia="zh-CN"/>
              </w:rPr>
              <w:t>P</w:t>
            </w:r>
            <w:r>
              <w:rPr>
                <w:rFonts w:hint="eastAsia" w:ascii="仿宋_GB2312" w:hAnsi="等线" w:cs="宋体"/>
                <w:color w:val="000000"/>
                <w:kern w:val="0"/>
                <w:sz w:val="21"/>
                <w:szCs w:val="21"/>
              </w:rPr>
              <w:t>M2.5历史查询</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以表格的形式查询历史PM2.5值，（可以选择以小时平均值或者日平均值来查看）</w:t>
            </w:r>
          </w:p>
        </w:tc>
      </w:tr>
      <w:tr>
        <w:tblPrEx>
          <w:tblCellMar>
            <w:top w:w="0" w:type="dxa"/>
            <w:left w:w="108" w:type="dxa"/>
            <w:bottom w:w="0" w:type="dxa"/>
            <w:right w:w="108" w:type="dxa"/>
          </w:tblCellMar>
        </w:tblPrEx>
        <w:trPr>
          <w:trHeight w:val="639"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24</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数据云存储及导出功能</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所有传感器采集的数据均可保存至服务器端，可将服务器中存储的所有数据进行数据导出，以便于数据存档和后续分析。</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25</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超标自动短信邮件报警</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rPr>
              <w:t>监测数据超标后自动短信通知污染单位负责人以及监管负责人，便于及时处理和反馈告警问题</w:t>
            </w:r>
            <w:r>
              <w:rPr>
                <w:rFonts w:hint="eastAsia" w:ascii="仿宋_GB2312" w:hAnsi="等线" w:cs="宋体"/>
                <w:color w:val="000000"/>
                <w:kern w:val="0"/>
                <w:sz w:val="21"/>
                <w:szCs w:val="21"/>
                <w:lang w:eastAsia="zh-CN"/>
              </w:rPr>
              <w:t>。</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26</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污染等级智能排名功能</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监测点扬尘周排名：对各个工地每周进行评分后进行的排名，供监管人员和服务人员及时了解当周各监测点的监测数据，更可通过工地周排名了解哪些工地降尘处理得好，哪些工地又处理得较差，方便监管部门及时了解各工地状况和应对处理办法。</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27</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污染趋势对比分析功能</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扬尘实时趋势分析</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选择多个设备进行实时扬尘曲线和柱状图的绘制，方便多个设备进行对比分析</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28</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噪声实时趋势分析</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选择多个设备进行实时噪声曲线和柱状图的绘制，方便多个设备进行对比分析</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29</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PM2.5实时趋势分析</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选择多个设备进行实时PM2.5曲线和柱状图的绘制，方便多个设备进行对比分析</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30</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扬尘历史趋势分析</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选择多个设备进行历史扬尘曲线和柱状图的绘制，方便多个设备进行对比分析</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31</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噪声历史趋势分析</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选择多个设备进行历史噪声曲线和柱状图的绘制，方便多个设备进行对比分析</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32</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动态污染地图呈现功能</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结合地理信息系统进行污染源动态分布地图（各点位集中在大地图显示，点位可实时在地图界面进行数据更新。）</w:t>
            </w:r>
          </w:p>
        </w:tc>
      </w:tr>
      <w:tr>
        <w:tblPrEx>
          <w:tblCellMar>
            <w:top w:w="0" w:type="dxa"/>
            <w:left w:w="108" w:type="dxa"/>
            <w:bottom w:w="0" w:type="dxa"/>
            <w:right w:w="108" w:type="dxa"/>
          </w:tblCellMar>
        </w:tblPrEx>
        <w:trPr>
          <w:trHeight w:val="65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33</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数据自动补偿功能</w:t>
            </w:r>
          </w:p>
        </w:tc>
        <w:tc>
          <w:tcPr>
            <w:tcW w:w="15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在网络故障或者服务器故障的情况下，设备会把这阶段监测到的数据和超标录音、抓拍数据存储在设备本地的存储器上。待故障处理完重新上线后，可以把存储在设备上的数据同步到平台上，供监控部门查看，更保证监测数据的完整性。否则会产生很多的无效数据，因为平台的统计会有有效率的控制；</w:t>
            </w:r>
          </w:p>
        </w:tc>
      </w:tr>
      <w:tr>
        <w:tblPrEx>
          <w:tblCellMar>
            <w:top w:w="0" w:type="dxa"/>
            <w:left w:w="108" w:type="dxa"/>
            <w:bottom w:w="0" w:type="dxa"/>
            <w:right w:w="108" w:type="dxa"/>
          </w:tblCellMar>
        </w:tblPrEx>
        <w:trPr>
          <w:trHeight w:val="67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34</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区域分析决策功能</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区域空气质量颜色对比：以GIS地图的形式对各个负责区域的空气质量超标情况进行直观的查看。</w:t>
            </w:r>
          </w:p>
        </w:tc>
      </w:tr>
      <w:tr>
        <w:tblPrEx>
          <w:tblCellMar>
            <w:top w:w="0" w:type="dxa"/>
            <w:left w:w="108" w:type="dxa"/>
            <w:bottom w:w="0" w:type="dxa"/>
            <w:right w:w="108" w:type="dxa"/>
          </w:tblCellMar>
        </w:tblPrEx>
        <w:trPr>
          <w:trHeight w:val="576"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35</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分级权限管理功能</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考勤管理</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vMerge w:val="restart"/>
            <w:tcBorders>
              <w:top w:val="nil"/>
              <w:left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根据不同单位、不同管理人员，可按级别设置不同的登录权限，实现只能对授权的设备进行查看和操作功能。</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36</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区域管理</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vMerge w:val="continue"/>
            <w:tcBorders>
              <w:left w:val="single" w:color="auto" w:sz="4" w:space="0"/>
              <w:right w:val="single" w:color="auto" w:sz="4" w:space="0"/>
            </w:tcBorders>
            <w:vAlign w:val="center"/>
          </w:tcPr>
          <w:p>
            <w:pPr>
              <w:widowControl/>
              <w:spacing w:line="240" w:lineRule="exact"/>
              <w:jc w:val="both"/>
              <w:rPr>
                <w:rFonts w:hint="eastAsia" w:ascii="仿宋_GB2312" w:hAnsi="等线" w:cs="宋体"/>
                <w:color w:val="000000"/>
                <w:kern w:val="0"/>
                <w:sz w:val="21"/>
                <w:szCs w:val="21"/>
              </w:rPr>
            </w:pP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37</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工地管理</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vMerge w:val="continue"/>
            <w:tcBorders>
              <w:left w:val="single" w:color="auto" w:sz="4" w:space="0"/>
              <w:right w:val="single" w:color="auto" w:sz="4" w:space="0"/>
            </w:tcBorders>
            <w:vAlign w:val="center"/>
          </w:tcPr>
          <w:p>
            <w:pPr>
              <w:widowControl/>
              <w:spacing w:line="240" w:lineRule="exact"/>
              <w:jc w:val="both"/>
              <w:rPr>
                <w:rFonts w:hint="eastAsia" w:ascii="仿宋_GB2312" w:hAnsi="等线" w:cs="宋体"/>
                <w:color w:val="000000"/>
                <w:kern w:val="0"/>
                <w:sz w:val="21"/>
                <w:szCs w:val="21"/>
              </w:rPr>
            </w:pP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38</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监控管理</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rPr>
              <w:t>1</w:t>
            </w:r>
          </w:p>
        </w:tc>
        <w:tc>
          <w:tcPr>
            <w:tcW w:w="7197" w:type="dxa"/>
            <w:vMerge w:val="continue"/>
            <w:tcBorders>
              <w:left w:val="single" w:color="auto" w:sz="4" w:space="0"/>
              <w:right w:val="single" w:color="auto" w:sz="4" w:space="0"/>
            </w:tcBorders>
            <w:vAlign w:val="center"/>
          </w:tcPr>
          <w:p>
            <w:pPr>
              <w:widowControl/>
              <w:spacing w:line="240" w:lineRule="exact"/>
              <w:jc w:val="both"/>
              <w:rPr>
                <w:rFonts w:hint="eastAsia" w:ascii="仿宋_GB2312" w:hAnsi="等线" w:cs="宋体"/>
                <w:color w:val="000000"/>
                <w:kern w:val="0"/>
                <w:sz w:val="21"/>
                <w:szCs w:val="21"/>
              </w:rPr>
            </w:pP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39</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治理管理</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vMerge w:val="continue"/>
            <w:tcBorders>
              <w:left w:val="single" w:color="auto" w:sz="4" w:space="0"/>
              <w:bottom w:val="single" w:color="000000" w:sz="4" w:space="0"/>
              <w:right w:val="single" w:color="auto" w:sz="4" w:space="0"/>
            </w:tcBorders>
            <w:vAlign w:val="center"/>
          </w:tcPr>
          <w:p>
            <w:pPr>
              <w:widowControl/>
              <w:spacing w:line="240" w:lineRule="exact"/>
              <w:jc w:val="both"/>
              <w:rPr>
                <w:rFonts w:hint="eastAsia" w:ascii="仿宋_GB2312" w:hAnsi="等线" w:cs="宋体"/>
                <w:color w:val="000000"/>
                <w:kern w:val="0"/>
                <w:sz w:val="21"/>
                <w:szCs w:val="21"/>
              </w:rPr>
            </w:pP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40</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施</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工</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现</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场</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视</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频</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监</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控</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系</w:t>
            </w:r>
          </w:p>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统</w:t>
            </w: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实时视频监控</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监管人员通过平台前端WEB界面查看建筑工地实时现场视频画面。</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41</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历史视频回放</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支持通过工地查找视频录像，支持快进、拖动、同步播放等功能。</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42</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抓拍图片上传</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可设置视频监控终端设备自动抓拍或手动抓拍图片数据，视频、图片可点击保存至平台系统。</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43</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GIS地图联动</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具有GIS地图联动功能，可在GIS地图显示安装地点,可以GIS地图联动,具有一键打开附近视频监控功能</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44</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云台控制</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000000"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本系统支持对前端摄像头云台控制，用户在实时监视时，可以通过云台控制摄像机的转动、聚焦、变倍等基本操作，以及预制点、巡航线、灯光等辅助功能。此外，系统特有的三维定位功能，用户在实时监视时可以通过框选的方式，迅速将局部区域放大，方便地定位到重点关注区域。云台控制操作有不同的优先级，高优先级的用户可以抢占低优先级的用户的操作。</w:t>
            </w:r>
          </w:p>
        </w:tc>
      </w:tr>
      <w:tr>
        <w:tblPrEx>
          <w:tblCellMar>
            <w:top w:w="0" w:type="dxa"/>
            <w:left w:w="108" w:type="dxa"/>
            <w:bottom w:w="0" w:type="dxa"/>
            <w:right w:w="108" w:type="dxa"/>
          </w:tblCellMar>
        </w:tblPrEx>
        <w:trPr>
          <w:trHeight w:val="37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45</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录像存储</w:t>
            </w:r>
          </w:p>
        </w:tc>
        <w:tc>
          <w:tcPr>
            <w:tcW w:w="15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系统可采用前后端录像存储；前端存储可以支持使用SD卡、硬盘等多种存储设备存储大于30天的录像数据；后端存储采用中心存储服务设计，中心存储服务可部署于公有云、私有云、政务云等云服务器，也可部署于自建机房的专用视频存储服务器。建议优先采用前端存储的方式保存录像数据，后端则可按需存储。</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46</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平台对接互联</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本系统采用GB/T 28181标准要求建设终端设备，根据《公共安全视频监控联网系统信息传输、交换、控制技术要求》，平台支持GB/T 28181协议级联方式接入公安局“雪亮工程”平台。</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47</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二次开发</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本系统支持接入符合GB/T 28181标准的视频监控终端设备，提供支持前端设备图片抓拍，车牌号码识别等数据上传接口。本系统提供c++、.net、java等多种语言的SDK开发包。</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48</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视频存储设计</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000000"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本期项目存储形式采用建筑工地前端自行建设日常存储并做好相关数据备份，住建局日常办公可手动调用工地终端存储并进行取证保存</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49</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劳</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务</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工</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人</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实</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名</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制</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管</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理</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系</w:t>
            </w:r>
          </w:p>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统</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工程信息管理</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工程信息管理</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用于录入工程的基本信息，并选择添加在该工程上从事工作的人员；完毕后，进行工程申报，等待监管部门的审核，审核通过后方可进行其他工作</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50</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工程分包管理</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用于录入工程劳务分包信息。当工程状态为在建状态，才可以根据实际情况进行工程劳务分包。由劳务公司登录系统，并选择添加在该分包工程上从事工作的人员；完毕后，进行工程申报，等待监管部门的审核，审核通过后方可进行其他工作</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51</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工地用户管理</w:t>
            </w:r>
          </w:p>
        </w:tc>
        <w:tc>
          <w:tcPr>
            <w:tcW w:w="15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由企业用户按照项目所需自行建立本企业的工地用户（总包企业，可以为分包企业建立劳务分包帐号），使工地考勤人员可以通过工地用户进行派遣和考勤。可以对工地用户进行添加、修改、删除、重置密码等操作</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52</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劳务人员实名登记管理</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对进场务工的劳务人员进行进场登记，包括个人身份证信息、工号、所属分包单位、班组、工种、进场日期、安全帽号、是否证件办理、是否签订合同等</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53</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报表管理</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劳务实名制管理系统可建立人员花名册、进场情况表、离场情况表、出勤表、工资发放情况表、实时刷卡记录表、刷卡率分析表、刷卡照片比对表等，方便用户进行查询。</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54</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安全教育管理</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安全教育平台是提供一个供员工学习安全知识的平台。该平台包括了新工人安全须知、安全技术操作规程、安全生产纪律、安全技术措施等安全知识。同时该平台还可以实现在线测试。通过在线测试，考核工人安全知识掌握的程度。系统中可以随时查询劳务人员接受各类安全教育情况，发现未参加安全教育人员，对未参加教育人员限制进门权限。</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55</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设备管理</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使用摄像考勤一体机作为识别终端，使用高清摄像机和劳务主控设备作为识别终端，使用面部识别设备作为识别终端。平台在线配置设备参数，进出方向，同时也可查看各设备运行状态等数据。</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56</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劳务合同管理</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企业与人员签订劳动合同。通过身份证号码，获得人员姓名，根据需要录入基本的合同信息，录入完毕后，此合同信息将保存到系统。对已签订的劳动合同进行终止合同的处理。当发生有员工离职或重新签订合同时，需要将现有劳动合同终止，可以通过此功能进行处理。</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57</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黑名单管理</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将违反公司或项目规定的劳务个人和施工队伍定义为用工黑名单，所有的黑名单信息在各项目和总部平台之间数据共享，即只要被设置为黑名单的个人或队伍到任何的项目上都会检测出其曾被设置为黑名单，项目部根据企业的规定采取对应的处理方式。</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58</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考勤管理</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考勤查询</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该窗口分为最新考勤记录和人员考勤明细两部分：这两部分均能查询人员进出场时间以及工作时长及在监控区域内的历史运动轨迹</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59</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考勤信息导出</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为了让人员考勤记录有据可依，系统除了在平台上进行相应的展示外，还提供考勤数据导出功能，形成纸质文档，方便项目管理部门进行考勤数据归档工作</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60</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工资管理</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工资是按照工程进行生成的，每个工程都需要有工资的表单，由企业对发工资的金额进行修改，每个月企业必须要生成一次工资，如果没有生成，系统会对该企业进行报警。</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61</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实时监测</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人员信息滚动</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人员信息滚动条，显示实时人员总人数、各工种人数等，用于快速掌握人员相关数据信息。</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62</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人员实时监测分布</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对于配备智能安全帽的项目可实现人员实时监测分布图，结合工地分片地图，显示各水平面人员数目及在的相对位置信息等</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63</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人员详细信息及配置</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人员详细信息及配置窗口，主要显示当前人员相关信息，包括工号、姓名、部门、连接终端状态及个人地理定位等。</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64</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区域人数限制</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工地门禁系统具有区域人数限制功能，启用区域人数限制功能后，可以设置一个区域内人数最大量，限制人流，防止人数过多发生意外等情况（比如某地铁工地限制现场人数1千人，如果进入人数达一千人，将限制人员的进入，必须出来一人才能放行一人）。</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65</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bottom w:val="single" w:color="000000"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现场信息实时显示</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通过 LED 屏显示当前在岗的人员总数及所属的各分包单位的汇总人数信息。电脑客户端可实时查询当前在岗人员的身份信息及照片。</w:t>
            </w:r>
          </w:p>
        </w:tc>
      </w:tr>
      <w:tr>
        <w:tblPrEx>
          <w:tblCellMar>
            <w:top w:w="0" w:type="dxa"/>
            <w:left w:w="108" w:type="dxa"/>
            <w:bottom w:w="0" w:type="dxa"/>
            <w:right w:w="108" w:type="dxa"/>
          </w:tblCellMar>
        </w:tblPrEx>
        <w:trPr>
          <w:trHeight w:val="120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lang w:val="en-US" w:eastAsia="zh-CN"/>
              </w:rPr>
              <w:t>6</w:t>
            </w:r>
            <w:r>
              <w:rPr>
                <w:rFonts w:hint="eastAsia" w:ascii="仿宋_GB2312" w:hAnsi="等线" w:cs="宋体"/>
                <w:color w:val="000000"/>
                <w:kern w:val="0"/>
                <w:sz w:val="21"/>
                <w:szCs w:val="21"/>
              </w:rPr>
              <w:t>6</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BIM</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应</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用</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系</w:t>
            </w:r>
          </w:p>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统</w:t>
            </w:r>
          </w:p>
        </w:tc>
        <w:tc>
          <w:tcPr>
            <w:tcW w:w="1268" w:type="dxa"/>
            <w:tcBorders>
              <w:top w:val="nil"/>
              <w:left w:val="single" w:color="000000"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 w:hAnsi="仿宋" w:eastAsia="仿宋" w:cs="仿宋"/>
                <w:color w:val="000000"/>
                <w:sz w:val="24"/>
                <w:szCs w:val="21"/>
                <w:lang w:eastAsia="zh-CN"/>
              </w:rPr>
              <w:t>BIM+进度管理</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随着信息技术的进步，三维模型丰富的数据架构已具有延伸的附加价值，其中已朝向发展BIM 4D建筑管理辅助功能，协助项目管理在执行各阶段时间流程规划与进度控制上的作业，以确实掌握与执行工作，达到符合最佳质量及成本的目标，亦让业主在工程的前置准备阶段即能了解未来工程的全貌及预计施工的过程。</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lang w:val="en-US" w:eastAsia="zh-CN"/>
              </w:rPr>
              <w:t>6</w:t>
            </w:r>
            <w:r>
              <w:rPr>
                <w:rFonts w:hint="eastAsia" w:ascii="仿宋_GB2312" w:hAnsi="等线" w:cs="宋体"/>
                <w:color w:val="000000"/>
                <w:kern w:val="0"/>
                <w:sz w:val="21"/>
                <w:szCs w:val="21"/>
              </w:rPr>
              <w:t>7</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000000"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查询房屋建设情况</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lang w:eastAsia="zh-CN"/>
              </w:rPr>
              <w:t>购房人通过手机APP查询房屋建设情况</w:t>
            </w:r>
          </w:p>
        </w:tc>
      </w:tr>
      <w:tr>
        <w:tblPrEx>
          <w:tblCellMar>
            <w:top w:w="0" w:type="dxa"/>
            <w:left w:w="108" w:type="dxa"/>
            <w:bottom w:w="0" w:type="dxa"/>
            <w:right w:w="108" w:type="dxa"/>
          </w:tblCellMar>
        </w:tblPrEx>
        <w:trPr>
          <w:trHeight w:val="9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lang w:val="en-US" w:eastAsia="zh-CN"/>
              </w:rPr>
              <w:t>6</w:t>
            </w:r>
            <w:r>
              <w:rPr>
                <w:rFonts w:hint="eastAsia" w:ascii="仿宋_GB2312" w:hAnsi="等线" w:cs="宋体"/>
                <w:color w:val="000000"/>
                <w:kern w:val="0"/>
                <w:sz w:val="21"/>
                <w:szCs w:val="21"/>
              </w:rPr>
              <w:t>8</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000000"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 w:hAnsi="仿宋" w:eastAsia="仿宋" w:cs="仿宋"/>
                <w:color w:val="000000"/>
                <w:sz w:val="24"/>
                <w:szCs w:val="21"/>
                <w:lang w:val="en-US" w:eastAsia="zh-CN"/>
              </w:rPr>
              <w:t>查询销售情况</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eastAsia="zh-CN"/>
              </w:rPr>
              <w:t>购房人通过手机APP查询销售情况</w:t>
            </w:r>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69</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268"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大数据分析</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对项目中巨大的数据进行分析,更直观的展示数据</w:t>
            </w:r>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70</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268"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辅助决策应用</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系统对</w:t>
            </w:r>
            <w:r>
              <w:rPr>
                <w:rFonts w:hint="eastAsia" w:ascii="仿宋_GB2312" w:hAnsi="等线" w:cs="宋体"/>
                <w:color w:val="000000"/>
                <w:kern w:val="0"/>
                <w:sz w:val="21"/>
                <w:szCs w:val="21"/>
              </w:rPr>
              <w:t>经验数据收集、分析、结论得出、预警提示等一系列功能的集成体</w:t>
            </w:r>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71</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268"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数据库仓库</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rPr>
              <w:t>为</w:t>
            </w:r>
            <w:r>
              <w:rPr>
                <w:rFonts w:hint="eastAsia" w:ascii="仿宋_GB2312" w:hAnsi="等线" w:cs="宋体"/>
                <w:color w:val="000000"/>
                <w:kern w:val="0"/>
                <w:sz w:val="21"/>
                <w:szCs w:val="21"/>
              </w:rPr>
              <w:fldChar w:fldCharType="begin"/>
            </w:r>
            <w:r>
              <w:rPr>
                <w:rFonts w:hint="eastAsia" w:ascii="仿宋_GB2312" w:hAnsi="等线" w:cs="宋体"/>
                <w:color w:val="000000"/>
                <w:kern w:val="0"/>
                <w:sz w:val="21"/>
                <w:szCs w:val="21"/>
              </w:rPr>
              <w:instrText xml:space="preserve"> HYPERLINK "https://baike.baidu.com/item/%E4%BC%81%E4%B8%9A/707680" \t "https://baike.baidu.com/item/%E6%95%B0%E6%8D%AE%E4%BB%93%E5%BA%93/_blank" </w:instrText>
            </w:r>
            <w:r>
              <w:rPr>
                <w:rFonts w:hint="eastAsia" w:ascii="仿宋_GB2312" w:hAnsi="等线" w:cs="宋体"/>
                <w:color w:val="000000"/>
                <w:kern w:val="0"/>
                <w:sz w:val="21"/>
                <w:szCs w:val="21"/>
              </w:rPr>
              <w:fldChar w:fldCharType="separate"/>
            </w:r>
            <w:r>
              <w:rPr>
                <w:rFonts w:hint="eastAsia" w:ascii="仿宋_GB2312" w:hAnsi="等线" w:cs="宋体"/>
                <w:color w:val="000000"/>
                <w:kern w:val="0"/>
                <w:sz w:val="21"/>
                <w:szCs w:val="21"/>
              </w:rPr>
              <w:t>企业</w:t>
            </w:r>
            <w:r>
              <w:rPr>
                <w:rFonts w:hint="eastAsia" w:ascii="仿宋_GB2312" w:hAnsi="等线" w:cs="宋体"/>
                <w:color w:val="000000"/>
                <w:kern w:val="0"/>
                <w:sz w:val="21"/>
                <w:szCs w:val="21"/>
              </w:rPr>
              <w:fldChar w:fldCharType="end"/>
            </w:r>
            <w:r>
              <w:rPr>
                <w:rFonts w:hint="eastAsia" w:ascii="仿宋_GB2312" w:hAnsi="等线" w:cs="宋体"/>
                <w:color w:val="000000"/>
                <w:kern w:val="0"/>
                <w:sz w:val="21"/>
                <w:szCs w:val="21"/>
              </w:rPr>
              <w:t>所有级别的决策制定过程，提供所有类型数据支持的战略</w:t>
            </w:r>
            <w:r>
              <w:rPr>
                <w:rFonts w:hint="eastAsia" w:ascii="仿宋_GB2312" w:hAnsi="等线" w:cs="宋体"/>
                <w:color w:val="000000"/>
                <w:kern w:val="0"/>
                <w:sz w:val="21"/>
                <w:szCs w:val="21"/>
              </w:rPr>
              <w:fldChar w:fldCharType="begin"/>
            </w:r>
            <w:r>
              <w:rPr>
                <w:rFonts w:hint="eastAsia" w:ascii="仿宋_GB2312" w:hAnsi="等线" w:cs="宋体"/>
                <w:color w:val="000000"/>
                <w:kern w:val="0"/>
                <w:sz w:val="21"/>
                <w:szCs w:val="21"/>
              </w:rPr>
              <w:instrText xml:space="preserve"> HYPERLINK "https://baike.baidu.com/item/%E9%9B%86%E5%90%88" \t "https://baike.baidu.com/item/%E6%95%B0%E6%8D%AE%E4%BB%93%E5%BA%93/_blank" </w:instrText>
            </w:r>
            <w:r>
              <w:rPr>
                <w:rFonts w:hint="eastAsia" w:ascii="仿宋_GB2312" w:hAnsi="等线" w:cs="宋体"/>
                <w:color w:val="000000"/>
                <w:kern w:val="0"/>
                <w:sz w:val="21"/>
                <w:szCs w:val="21"/>
              </w:rPr>
              <w:fldChar w:fldCharType="separate"/>
            </w:r>
            <w:r>
              <w:rPr>
                <w:rFonts w:hint="eastAsia" w:ascii="仿宋_GB2312" w:hAnsi="等线" w:cs="宋体"/>
                <w:color w:val="000000"/>
                <w:kern w:val="0"/>
                <w:sz w:val="21"/>
                <w:szCs w:val="21"/>
              </w:rPr>
              <w:t>集合</w:t>
            </w:r>
            <w:r>
              <w:rPr>
                <w:rFonts w:hint="eastAsia" w:ascii="仿宋_GB2312" w:hAnsi="等线" w:cs="宋体"/>
                <w:color w:val="000000"/>
                <w:kern w:val="0"/>
                <w:sz w:val="21"/>
                <w:szCs w:val="21"/>
              </w:rPr>
              <w:fldChar w:fldCharType="end"/>
            </w:r>
            <w:r>
              <w:rPr>
                <w:rFonts w:hint="eastAsia" w:ascii="仿宋_GB2312" w:hAnsi="等线" w:cs="宋体"/>
                <w:color w:val="000000"/>
                <w:kern w:val="0"/>
                <w:sz w:val="21"/>
                <w:szCs w:val="21"/>
              </w:rPr>
              <w:t>。它是单个数据存储，出于分析性报告和决策支持目的而创建。 为需要业务智能的企业，提供指导业务流程改进、监视时间、成本、质量以及控制。</w:t>
            </w:r>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72</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268"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大数据处理系统</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根据二维码微沙盘扫描成果，在后台生成大数据追踪系统，形成不同时段的大数据分析，并分析传播效果；智能招商成果的统计是根据不同客户的访问量，分析出意向客户的存在，筛选优质客户，确定意向后拜访交流，节约人力输出，减少时间浪费；独立账号管理是根据不同招商主体，设定不同权限的账号，每个账号旗下的招商信息均可生成独立报表。</w:t>
            </w:r>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73</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268"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分析模型系统</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对项目的设计模型进行分析修改</w:t>
            </w:r>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74</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268"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分析成果系统</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对项目完工的结果进行分析</w:t>
            </w:r>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75</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restart"/>
            <w:tcBorders>
              <w:top w:val="single" w:color="000000" w:sz="4" w:space="0"/>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建</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设</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工</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程</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质</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量</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安</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全</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监</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督</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管</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理</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系</w:t>
            </w:r>
          </w:p>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统</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工程质量移动执法</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利用先进的移动技术，实现现场实时执法</w:t>
            </w:r>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76</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移动执法app</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工程质量移动执法app平台是基于移动应用的开发，系统是基于移动应用开发，以现场监督取证为“抓手”，实现各方参建单位人员的信息互通，从而解决以往传统工作模式中的执法行为不规范、执法内容不规范、执法结果不规范、标准缺失等问题。同时，监督所有检查记录在PC端可打开WEB大数据平台进行监督记录归档、查看、审批。</w:t>
            </w:r>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77</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质量监督检查</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实现现场质量监督拍照、录制视频、音频，对照片进行标识说明和文字编辑，清晰表明现场存在的质量问题。</w:t>
            </w:r>
          </w:p>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实现质量监督记录信息推送，监督员可以将检查结果推送至相关责任人员或站领导进行查看。为后续法规库的完善提供相关依据。</w:t>
            </w:r>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78</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安全监督检查</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监督员可将检查结果推送至相关责任人员或站领导进行查看。在上传数据的同时自动获取当前地理位置信息和当前时间，体现真实性和时效性。</w:t>
            </w:r>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79</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整改统计通知</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监督人员到过现场进行检查时，发现问题，填写整改通知书推送到施工单位，责任人员即时收到整改消息，查看整改通知，同时站领导即时收到消息，查看监督员检查结果。</w:t>
            </w:r>
          </w:p>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被通知单位按要求进行整改完成后，将整改结果以文字、图片、视频、音频等形式进行上报。</w:t>
            </w:r>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80</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停复工通知管理</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检查过程中发现问题需局部停工处理的，监督员使用该模块发起停工流程，相关责任单位收到停工通知后，执行局部停工整改。</w:t>
            </w:r>
          </w:p>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整改到位后，监督员检查是否达到复工条件，如果达标则发起复工通知记录，告知责任单位复工：</w:t>
            </w:r>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81</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执法记录管理</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将巡查记录同步归档，整改进度有迹可循。</w:t>
            </w:r>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82</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实时视频</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通过开发对接视频接口，监督员登录移动端后，实现各工地的视频监控，同时 监管人员通过移动终端即可直观地了解和掌握工地的动态信息。</w:t>
            </w:r>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83</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关键岗位人员抽查</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通过在平台上随机抽查任意工程的关键岗位的人员，以短信、微信通知、手机等的方式下发抽查通知，则关键岗位的人员需在规定时间内到工地进行打卡，打卡的信息可与后台数据库中登记的人员信息进行比对并同步打卡出勤信息，如未打卡成功者，系统将自动对该企业或者该个人进行行为扣分，从而可以实现对关键岗位人员信息的现场抽查。</w:t>
            </w:r>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84</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协助办公</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实现日常工作的安排，处理情况跟踪。工程安排了监督科室和监督员，对应的监督科室主任才能给监督员安排监督任务；监督员才能对自己负责的工程进行各项监督业务操作。</w:t>
            </w:r>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85</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工程报监</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监督站相应人员对报监工程进行基本信息审核，并使审核结果反馈给申报单位。</w:t>
            </w:r>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86</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工程委派</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该模块实现站领导指派工程监督任务。可同时委派质量监督工程师和安全监督工程师、或者委派一个监督组，也可更换所委派监督工程师。任务分派不受时间和空间限制，任务下达比电话更方便、有据可依。</w:t>
            </w:r>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87</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日常监督</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帮助监督人员规范地完成整个工程的资料整理；能帮助监督人员及时发现问题，及时做出准确的决策；监督工作方案、监督报告等模板的调用可增加监督员整理资料的规范性，减少重复录入工作，提供工作效率；强大的查询、自动汇总归类功能使监督人员免于查找和整理资料之苦；强大的统计功能使监督人员免于日常报表整理之苦。</w:t>
            </w:r>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88</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工程责任人员现场考勤记录</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通过对工程相关责任人见现场考勤记录，反映责任人员下达工地次数及行为监管。系统利用移动终端考勤安全认证设备（本方案不包含该设备费用，该设备费用由施工单位自行解决），各方责负人员（该工程的监督员、监理及施工单位项目经理等）到达工地时进行指纹考勤，并通过无线GPRS实时上传，实现对相关责负人员的行为监管。</w:t>
            </w:r>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89</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工地现场巡检</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开发工地现场巡检系统（手机端应用）（本方案不包含手机费用）。监督站督查人员利用该手机端应用，可在施工现场及时发布整改通知书，查询工程信息（包括工程基本信息，责任人员及现场考勤信息，相关检测报告等）。</w:t>
            </w:r>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90</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工程验收</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提供符合实际情况验收数据处理流程和配套表格，各相关单位按照要求及时录入数据，从而全面掌握工程全过程的验收情况及整改情况。</w:t>
            </w:r>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91</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工程归档</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系统对已竣工的工程进行归档处理，并生成归档编号。方便日后对归档工程资料调阅。</w:t>
            </w:r>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92</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系统管理</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该模块提供统一的系统后台管理功能，包括用户、组织机构、权限、数据字典。</w:t>
            </w:r>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93</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建</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设</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工</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程</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质</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量</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检</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测</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监</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管</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系</w:t>
            </w:r>
          </w:p>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统</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检测机构和检测人员及设备资质监管</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检测机构通过该系统录入详细机构信息、人员信息、设备信息、机构资质信息后提交备案申请，系统会根据设定的资质要求进行预评审并将预评审不符合项警示给相关备案审批人员，审批人员可根据预评审结果给予备案通过或不通过，如备案审批不通过，备案审批人员将此次申请退回给检测机构并限定时间让检测机构整改重新提交备案申请，备案只有审批通过后检测机构才能开展以后的工作。检测机构在有资质、人员及设备的变更时需在系统提交变更申请后方可进行变更，变更同样需要按照审批流程来审批。</w:t>
            </w:r>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检测业务监控</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建设单位登陆系统后，首先对工程项目的检测项目、委托单位和检测机构信息进行选择和录入，如果建设单位未按照要求执行备案工作，监管平台在检测数据上传获取编号的时候监管平台将不予分配。</w:t>
            </w:r>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视频监控系统</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对检测平台、养护室等进行事实监控，并具备存储、抓拍、回放等功能。</w:t>
            </w:r>
            <w:bookmarkStart w:id="1" w:name="_GoBack"/>
            <w:bookmarkEnd w:id="1"/>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94</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检测质量监控及综合管理</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各检测机构内部必须实现检测业务的信息化管理。涉及力值检测的项目必须实现自动采集，并通过计量检定，自动采集数据进入检测管理系统后，系统必须对各业务环节数据修改情况进行监控，记录所有修改痕迹。对于常规项目，所有数据必须上传到检测监管系统中，其中常规自动采集项目一做完试验立即上传到监管平台，在报告打印还需要向监管平台传送一次，上传到检测监管的报告与实际发出去的报告完全一致，非自动采集的常规检验项目在统一在报告打印后上传到检测监管系统中；对于现场项目，必须将主要信息及结果录入到监管平台中，同时，在监管平台中打印出统一规格报告关键控制信息，并且将报告上传到监管平台中。</w:t>
            </w:r>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95</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系统管理</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用于系统的基础资料设置。</w:t>
            </w:r>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96</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报告真伪查询</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提供报告的真伪查询功能，防止施工单位、检测机构做假报告。对于现场检测，提供现场检测计划申报功能，并登记现场检测关键信息，同时提供关键信息打印功能，现场检测报告中必须的监管平台的关键页。</w:t>
            </w:r>
          </w:p>
        </w:tc>
      </w:tr>
      <w:tr>
        <w:tblPrEx>
          <w:tblCellMar>
            <w:top w:w="0" w:type="dxa"/>
            <w:left w:w="108" w:type="dxa"/>
            <w:bottom w:w="0" w:type="dxa"/>
            <w:right w:w="108" w:type="dxa"/>
          </w:tblCellMar>
        </w:tblPrEx>
        <w:trPr>
          <w:trHeight w:val="480" w:hRule="atLeast"/>
        </w:trPr>
        <w:tc>
          <w:tcPr>
            <w:tcW w:w="56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97</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restart"/>
            <w:tcBorders>
              <w:top w:val="single" w:color="000000" w:sz="4" w:space="0"/>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混</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凝</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土</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质</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量</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追</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踪</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及</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动</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态</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监</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管</w:t>
            </w:r>
          </w:p>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系</w:t>
            </w:r>
          </w:p>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统</w:t>
            </w:r>
          </w:p>
        </w:tc>
        <w:tc>
          <w:tcPr>
            <w:tcW w:w="1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混凝土生产数据集成管理平台</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混凝土生产数据管理</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混凝土生产数据的管理，包括混凝土生产流水号、工程质量监督号、设计配合比编号、设计强度等级等信息的管理。</w:t>
            </w:r>
          </w:p>
        </w:tc>
      </w:tr>
      <w:tr>
        <w:tblPrEx>
          <w:tblCellMar>
            <w:top w:w="0" w:type="dxa"/>
            <w:left w:w="108" w:type="dxa"/>
            <w:bottom w:w="0" w:type="dxa"/>
            <w:right w:w="108" w:type="dxa"/>
          </w:tblCellMar>
        </w:tblPrEx>
        <w:trPr>
          <w:trHeight w:val="480" w:hRule="atLeast"/>
        </w:trPr>
        <w:tc>
          <w:tcPr>
            <w:tcW w:w="56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szCs w:val="21"/>
                <w:lang w:val="en-US" w:eastAsia="zh-CN"/>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生产信息管理</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系统自动给搅拌站生产的每批混凝土设立唯一批次号，作为该批次混凝土唯一身份，同时也作为该批次混凝土质量跟踪的主线。</w:t>
            </w:r>
          </w:p>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搅拌站在生产每批混凝土前，在系统登记生产信息。</w:t>
            </w:r>
          </w:p>
        </w:tc>
      </w:tr>
      <w:tr>
        <w:tblPrEx>
          <w:tblCellMar>
            <w:top w:w="0" w:type="dxa"/>
            <w:left w:w="108" w:type="dxa"/>
            <w:bottom w:w="0" w:type="dxa"/>
            <w:right w:w="108" w:type="dxa"/>
          </w:tblCellMar>
        </w:tblPrEx>
        <w:trPr>
          <w:trHeight w:val="480" w:hRule="atLeast"/>
        </w:trPr>
        <w:tc>
          <w:tcPr>
            <w:tcW w:w="56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szCs w:val="21"/>
                <w:lang w:val="en-US" w:eastAsia="zh-CN"/>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配合比管理</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配合比主要包括设计配合比、生产配合比、实际配合比。系统根据设置好的判定公式自动计算出每次搅拌数据的配合比、拌合时间是否合规；并可查看开盘鉴定结果是否合格。</w:t>
            </w:r>
          </w:p>
        </w:tc>
      </w:tr>
      <w:tr>
        <w:tblPrEx>
          <w:tblCellMar>
            <w:top w:w="0" w:type="dxa"/>
            <w:left w:w="108" w:type="dxa"/>
            <w:bottom w:w="0" w:type="dxa"/>
            <w:right w:w="108" w:type="dxa"/>
          </w:tblCellMar>
        </w:tblPrEx>
        <w:trPr>
          <w:trHeight w:val="505" w:hRule="atLeast"/>
        </w:trPr>
        <w:tc>
          <w:tcPr>
            <w:tcW w:w="56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szCs w:val="21"/>
                <w:lang w:val="en-US" w:eastAsia="zh-CN"/>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打印出仓单</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混凝土在出厂时，需在系统打印出厂单，出厂单标明该车混凝土的身份，出厂时间，以使运输到工地现场时，监理验收。</w:t>
            </w:r>
          </w:p>
        </w:tc>
      </w:tr>
      <w:tr>
        <w:tblPrEx>
          <w:tblCellMar>
            <w:top w:w="0" w:type="dxa"/>
            <w:left w:w="108" w:type="dxa"/>
            <w:bottom w:w="0" w:type="dxa"/>
            <w:right w:w="108" w:type="dxa"/>
          </w:tblCellMar>
        </w:tblPrEx>
        <w:trPr>
          <w:trHeight w:val="480" w:hRule="atLeast"/>
        </w:trPr>
        <w:tc>
          <w:tcPr>
            <w:tcW w:w="56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szCs w:val="21"/>
                <w:lang w:val="en-US" w:eastAsia="zh-CN"/>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浇筑计划管理</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完成浇筑计划的登记及查询。</w:t>
            </w:r>
          </w:p>
        </w:tc>
      </w:tr>
      <w:tr>
        <w:tblPrEx>
          <w:tblCellMar>
            <w:top w:w="0" w:type="dxa"/>
            <w:left w:w="108" w:type="dxa"/>
            <w:bottom w:w="0" w:type="dxa"/>
            <w:right w:w="108" w:type="dxa"/>
          </w:tblCellMar>
        </w:tblPrEx>
        <w:trPr>
          <w:trHeight w:val="480" w:hRule="atLeast"/>
        </w:trPr>
        <w:tc>
          <w:tcPr>
            <w:tcW w:w="56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szCs w:val="21"/>
                <w:lang w:val="en-US" w:eastAsia="zh-CN"/>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浇筑部位信息</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完成现场浇筑信息（浇筑时间、浇筑部位、混凝土批次号等）的登记及查询。</w:t>
            </w:r>
          </w:p>
        </w:tc>
      </w:tr>
      <w:tr>
        <w:tblPrEx>
          <w:tblCellMar>
            <w:top w:w="0" w:type="dxa"/>
            <w:left w:w="108" w:type="dxa"/>
            <w:bottom w:w="0" w:type="dxa"/>
            <w:right w:w="108" w:type="dxa"/>
          </w:tblCellMar>
        </w:tblPrEx>
        <w:trPr>
          <w:trHeight w:val="480" w:hRule="atLeast"/>
        </w:trPr>
        <w:tc>
          <w:tcPr>
            <w:tcW w:w="56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szCs w:val="21"/>
                <w:lang w:val="en-US" w:eastAsia="zh-CN"/>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外观质量信息</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完成混凝土浇筑外观质量评价及外观图片上传。</w:t>
            </w:r>
          </w:p>
        </w:tc>
      </w:tr>
      <w:tr>
        <w:tblPrEx>
          <w:tblCellMar>
            <w:top w:w="0" w:type="dxa"/>
            <w:left w:w="108" w:type="dxa"/>
            <w:bottom w:w="0" w:type="dxa"/>
            <w:right w:w="108" w:type="dxa"/>
          </w:tblCellMar>
        </w:tblPrEx>
        <w:trPr>
          <w:trHeight w:val="480" w:hRule="atLeast"/>
        </w:trPr>
        <w:tc>
          <w:tcPr>
            <w:tcW w:w="56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szCs w:val="21"/>
                <w:lang w:val="en-US" w:eastAsia="zh-CN"/>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雨天浇筑信息</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完成雨天浇筑信息查询。</w:t>
            </w:r>
          </w:p>
        </w:tc>
      </w:tr>
      <w:tr>
        <w:tblPrEx>
          <w:tblCellMar>
            <w:top w:w="0" w:type="dxa"/>
            <w:left w:w="108" w:type="dxa"/>
            <w:bottom w:w="0" w:type="dxa"/>
            <w:right w:w="108" w:type="dxa"/>
          </w:tblCellMar>
        </w:tblPrEx>
        <w:trPr>
          <w:trHeight w:val="480" w:hRule="atLeast"/>
        </w:trPr>
        <w:tc>
          <w:tcPr>
            <w:tcW w:w="56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szCs w:val="21"/>
                <w:lang w:val="en-US" w:eastAsia="zh-CN"/>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坍塌度信息</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完成坍落度信息的登记及查询。</w:t>
            </w:r>
          </w:p>
        </w:tc>
      </w:tr>
      <w:tr>
        <w:tblPrEx>
          <w:tblCellMar>
            <w:top w:w="0" w:type="dxa"/>
            <w:left w:w="108" w:type="dxa"/>
            <w:bottom w:w="0" w:type="dxa"/>
            <w:right w:w="108" w:type="dxa"/>
          </w:tblCellMar>
        </w:tblPrEx>
        <w:trPr>
          <w:trHeight w:val="480" w:hRule="atLeast"/>
        </w:trPr>
        <w:tc>
          <w:tcPr>
            <w:tcW w:w="560"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GPS定位系统</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运送车辆行程信息</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商混从生产企业运输至建筑工地的行程轨迹监测。</w:t>
            </w:r>
          </w:p>
        </w:tc>
      </w:tr>
      <w:tr>
        <w:tblPrEx>
          <w:tblCellMar>
            <w:top w:w="0" w:type="dxa"/>
            <w:left w:w="108" w:type="dxa"/>
            <w:bottom w:w="0" w:type="dxa"/>
            <w:right w:w="108" w:type="dxa"/>
          </w:tblCellMar>
        </w:tblPrEx>
        <w:trPr>
          <w:trHeight w:val="480" w:hRule="atLeast"/>
        </w:trPr>
        <w:tc>
          <w:tcPr>
            <w:tcW w:w="56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98</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检测数据集成管理平台</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混凝土自检数据管理</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完成搅拌站混凝土自检信息的登记及查询。</w:t>
            </w:r>
          </w:p>
        </w:tc>
      </w:tr>
      <w:tr>
        <w:tblPrEx>
          <w:tblCellMar>
            <w:top w:w="0" w:type="dxa"/>
            <w:left w:w="108" w:type="dxa"/>
            <w:bottom w:w="0" w:type="dxa"/>
            <w:right w:w="108" w:type="dxa"/>
          </w:tblCellMar>
        </w:tblPrEx>
        <w:trPr>
          <w:trHeight w:val="480" w:hRule="atLeast"/>
        </w:trPr>
        <w:tc>
          <w:tcPr>
            <w:tcW w:w="56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szCs w:val="21"/>
                <w:lang w:val="en-US" w:eastAsia="zh-CN"/>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混凝土第三方检测信息</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以混凝土批次号为关联主线，获取建设工程质量检测监管系统中该批次混凝土检测信息，并与该批次自检测比对，异常时预警。</w:t>
            </w:r>
          </w:p>
        </w:tc>
      </w:tr>
      <w:tr>
        <w:tblPrEx>
          <w:tblCellMar>
            <w:top w:w="0" w:type="dxa"/>
            <w:left w:w="108" w:type="dxa"/>
            <w:bottom w:w="0" w:type="dxa"/>
            <w:right w:w="108" w:type="dxa"/>
          </w:tblCellMar>
        </w:tblPrEx>
        <w:trPr>
          <w:trHeight w:val="480" w:hRule="atLeast"/>
        </w:trPr>
        <w:tc>
          <w:tcPr>
            <w:tcW w:w="56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99</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质量监督数字处理平台</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拌台投料实时数据</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完成实时监控混凝土塔楼投料情况，对混凝土生产异常状态实时报警，追踪每批混凝土质量状况。</w:t>
            </w:r>
          </w:p>
        </w:tc>
      </w:tr>
      <w:tr>
        <w:tblPrEx>
          <w:tblCellMar>
            <w:top w:w="0" w:type="dxa"/>
            <w:left w:w="108" w:type="dxa"/>
            <w:bottom w:w="0" w:type="dxa"/>
            <w:right w:w="108" w:type="dxa"/>
          </w:tblCellMar>
        </w:tblPrEx>
        <w:trPr>
          <w:trHeight w:val="480" w:hRule="atLeast"/>
        </w:trPr>
        <w:tc>
          <w:tcPr>
            <w:tcW w:w="56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szCs w:val="21"/>
                <w:lang w:val="en-US" w:eastAsia="zh-CN"/>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工程投料信息查询</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完成以工程为主线，</w:t>
            </w:r>
            <w:r>
              <w:rPr>
                <w:rFonts w:hint="eastAsia" w:ascii="仿宋_GB2312" w:hAnsi="等线" w:cs="宋体"/>
                <w:color w:val="000000"/>
                <w:kern w:val="0"/>
                <w:sz w:val="21"/>
                <w:szCs w:val="21"/>
                <w:lang w:eastAsia="zh-CN"/>
              </w:rPr>
              <w:tab/>
            </w:r>
            <w:r>
              <w:rPr>
                <w:rFonts w:hint="eastAsia" w:ascii="仿宋_GB2312" w:hAnsi="等线" w:cs="宋体"/>
                <w:color w:val="000000"/>
                <w:kern w:val="0"/>
                <w:sz w:val="21"/>
                <w:szCs w:val="21"/>
                <w:lang w:eastAsia="zh-CN"/>
              </w:rPr>
              <w:t>展现该工程的混凝土生产批次、投料信息等。</w:t>
            </w:r>
          </w:p>
        </w:tc>
      </w:tr>
      <w:tr>
        <w:tblPrEx>
          <w:tblCellMar>
            <w:top w:w="0" w:type="dxa"/>
            <w:left w:w="108" w:type="dxa"/>
            <w:bottom w:w="0" w:type="dxa"/>
            <w:right w:w="108" w:type="dxa"/>
          </w:tblCellMar>
        </w:tblPrEx>
        <w:trPr>
          <w:trHeight w:val="480" w:hRule="atLeast"/>
        </w:trPr>
        <w:tc>
          <w:tcPr>
            <w:tcW w:w="56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100</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搅拌楼生产控制及数据采集系统</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搅拌楼客户端程序，与生产控制系统集成，并做数据交互，采集配合比等生产信息数据，发送至网络服务器。</w:t>
            </w:r>
          </w:p>
        </w:tc>
      </w:tr>
      <w:tr>
        <w:tblPrEx>
          <w:tblCellMar>
            <w:top w:w="0" w:type="dxa"/>
            <w:left w:w="108" w:type="dxa"/>
            <w:bottom w:w="0" w:type="dxa"/>
            <w:right w:w="108" w:type="dxa"/>
          </w:tblCellMar>
        </w:tblPrEx>
        <w:trPr>
          <w:trHeight w:val="480" w:hRule="atLeast"/>
        </w:trPr>
        <w:tc>
          <w:tcPr>
            <w:tcW w:w="56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服务端数据中心服务主程序</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负责接收并处理各个搅拌楼数据交换客户端传送的数据并入库。对搅拌楼生产系统的远程身份认证，状态监控等。</w:t>
            </w:r>
          </w:p>
        </w:tc>
      </w:tr>
      <w:tr>
        <w:tblPrEx>
          <w:tblCellMar>
            <w:top w:w="0" w:type="dxa"/>
            <w:left w:w="108" w:type="dxa"/>
            <w:bottom w:w="0" w:type="dxa"/>
            <w:right w:w="108" w:type="dxa"/>
          </w:tblCellMar>
        </w:tblPrEx>
        <w:trPr>
          <w:trHeight w:val="480" w:hRule="atLeast"/>
        </w:trPr>
        <w:tc>
          <w:tcPr>
            <w:tcW w:w="56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101</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p>
        </w:tc>
        <w:tc>
          <w:tcPr>
            <w:tcW w:w="1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试件管理模块</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试件信息管理</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实现试件信息的增、删、改、查等功能。当写卡成功能之后，试件信息将不可更改、删除</w:t>
            </w:r>
          </w:p>
        </w:tc>
      </w:tr>
      <w:tr>
        <w:tblPrEx>
          <w:tblCellMar>
            <w:top w:w="0" w:type="dxa"/>
            <w:left w:w="108" w:type="dxa"/>
            <w:bottom w:w="0" w:type="dxa"/>
            <w:right w:w="108" w:type="dxa"/>
          </w:tblCellMar>
        </w:tblPrEx>
        <w:trPr>
          <w:trHeight w:val="480" w:hRule="atLeast"/>
        </w:trPr>
        <w:tc>
          <w:tcPr>
            <w:tcW w:w="56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szCs w:val="21"/>
                <w:lang w:val="en-US" w:eastAsia="zh-CN"/>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读卡</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获取RFID芯片号，并保存。</w:t>
            </w:r>
          </w:p>
        </w:tc>
      </w:tr>
      <w:tr>
        <w:tblPrEx>
          <w:tblCellMar>
            <w:top w:w="0" w:type="dxa"/>
            <w:left w:w="108" w:type="dxa"/>
            <w:bottom w:w="0" w:type="dxa"/>
            <w:right w:w="108" w:type="dxa"/>
          </w:tblCellMar>
        </w:tblPrEx>
        <w:trPr>
          <w:trHeight w:val="480" w:hRule="atLeast"/>
        </w:trPr>
        <w:tc>
          <w:tcPr>
            <w:tcW w:w="56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szCs w:val="21"/>
                <w:lang w:val="en-US" w:eastAsia="zh-CN"/>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写卡</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将“混凝土流水号、工程名称、浇注部位、混凝土强度等级、塌落度、试件尺寸、试件成型时间、见证人姓名、见证员证号”等信息写入芯片。</w:t>
            </w:r>
          </w:p>
        </w:tc>
      </w:tr>
      <w:tr>
        <w:tblPrEx>
          <w:tblCellMar>
            <w:top w:w="0" w:type="dxa"/>
            <w:left w:w="108" w:type="dxa"/>
            <w:bottom w:w="0" w:type="dxa"/>
            <w:right w:w="108" w:type="dxa"/>
          </w:tblCellMar>
        </w:tblPrEx>
        <w:trPr>
          <w:trHeight w:val="480" w:hRule="atLeast"/>
        </w:trPr>
        <w:tc>
          <w:tcPr>
            <w:tcW w:w="56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szCs w:val="21"/>
                <w:lang w:val="en-US" w:eastAsia="zh-CN"/>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打印见证记录卡</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按</w:t>
            </w:r>
            <w:r>
              <w:rPr>
                <w:rFonts w:hint="eastAsia" w:ascii="仿宋_GB2312" w:hAnsi="等线" w:cs="宋体"/>
                <w:color w:val="000000"/>
                <w:kern w:val="0"/>
                <w:sz w:val="21"/>
                <w:szCs w:val="21"/>
                <w:lang w:eastAsia="zh-CN"/>
              </w:rPr>
              <w:t>“见证记录”</w:t>
            </w:r>
            <w:r>
              <w:rPr>
                <w:rFonts w:hint="eastAsia" w:ascii="仿宋_GB2312" w:hAnsi="等线" w:cs="宋体"/>
                <w:color w:val="000000"/>
                <w:kern w:val="0"/>
                <w:sz w:val="21"/>
                <w:szCs w:val="21"/>
                <w:lang w:val="en-US" w:eastAsia="zh-CN"/>
              </w:rPr>
              <w:t>格式打印记录卡</w:t>
            </w:r>
          </w:p>
        </w:tc>
      </w:tr>
      <w:tr>
        <w:tblPrEx>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102</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手机终端读卡</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读卡</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从试件中读取“混凝土流水号、工程名称、浇注部位、混凝土强度等级、塌落度、试件尺寸、试件成型时间、见证人姓名、见证员证号、RFID芯片号”等信息。</w:t>
            </w:r>
          </w:p>
        </w:tc>
      </w:tr>
      <w:tr>
        <w:tblPrEx>
          <w:tblCellMar>
            <w:top w:w="0" w:type="dxa"/>
            <w:left w:w="108" w:type="dxa"/>
            <w:bottom w:w="0" w:type="dxa"/>
            <w:right w:w="108" w:type="dxa"/>
          </w:tblCellMar>
        </w:tblPrEx>
        <w:trPr>
          <w:trHeight w:val="480" w:hRule="atLeast"/>
        </w:trPr>
        <w:tc>
          <w:tcPr>
            <w:tcW w:w="56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103</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检测数据采集嵌入RFID接口</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收样</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在收样界面新增一个“读卡”功能，当点击“读卡”按钮时，通过联机的读卡器读取试件中的RFID标签信息；读取的信息“混凝土流水号、工程名称、浇注部位、混凝土强度等级、塌落度、试件尺寸、试件成型时间、见证人姓名、见证员证号、RFID芯片号”等，替代原来的手工输入。</w:t>
            </w:r>
          </w:p>
        </w:tc>
      </w:tr>
      <w:tr>
        <w:tblPrEx>
          <w:tblCellMar>
            <w:top w:w="0" w:type="dxa"/>
            <w:left w:w="108" w:type="dxa"/>
            <w:bottom w:w="0" w:type="dxa"/>
            <w:right w:w="108" w:type="dxa"/>
          </w:tblCellMar>
        </w:tblPrEx>
        <w:trPr>
          <w:trHeight w:val="480" w:hRule="atLeast"/>
        </w:trPr>
        <w:tc>
          <w:tcPr>
            <w:tcW w:w="56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szCs w:val="21"/>
                <w:lang w:val="en-US" w:eastAsia="zh-CN"/>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试验</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对于“混凝土试件抗压”的自动采集模块，需要做一下改造。将原来的直接从数据库中(或者通过条码)获取待试验的试块信息改为通过联机的RFID读卡器读取RFID芯片号，从而关联获取试件的试样编号、混凝土强度等级、试样尺寸、成型时间、防伪标识等信息，时行试验。</w:t>
            </w:r>
          </w:p>
        </w:tc>
      </w:tr>
      <w:tr>
        <w:tblPrEx>
          <w:tblCellMar>
            <w:top w:w="0" w:type="dxa"/>
            <w:left w:w="108" w:type="dxa"/>
            <w:bottom w:w="0" w:type="dxa"/>
            <w:right w:w="108" w:type="dxa"/>
          </w:tblCellMar>
        </w:tblPrEx>
        <w:trPr>
          <w:trHeight w:val="480" w:hRule="atLeast"/>
        </w:trPr>
        <w:tc>
          <w:tcPr>
            <w:tcW w:w="56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szCs w:val="21"/>
                <w:lang w:val="en-US" w:eastAsia="zh-CN"/>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报告</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eastAsia="zh-CN"/>
              </w:rPr>
            </w:pPr>
            <w:r>
              <w:rPr>
                <w:rFonts w:hint="eastAsia" w:ascii="仿宋_GB2312" w:hAnsi="等线" w:cs="宋体"/>
                <w:color w:val="000000"/>
                <w:kern w:val="0"/>
                <w:sz w:val="21"/>
                <w:szCs w:val="21"/>
                <w:lang w:eastAsia="zh-CN"/>
              </w:rPr>
              <w:t>系统对出具的报告进行调整。将报告中加上“混凝土流水号、RFID芯片号”。</w:t>
            </w:r>
          </w:p>
        </w:tc>
      </w:tr>
      <w:tr>
        <w:tblPrEx>
          <w:tblCellMar>
            <w:top w:w="0" w:type="dxa"/>
            <w:left w:w="108" w:type="dxa"/>
            <w:bottom w:w="0" w:type="dxa"/>
            <w:right w:w="108" w:type="dxa"/>
          </w:tblCellMar>
        </w:tblPrEx>
        <w:trPr>
          <w:trHeight w:val="480" w:hRule="atLeast"/>
        </w:trPr>
        <w:tc>
          <w:tcPr>
            <w:tcW w:w="560"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lang w:val="en-US" w:eastAsia="zh-CN"/>
              </w:rPr>
              <w:t>104</w:t>
            </w:r>
          </w:p>
        </w:tc>
        <w:tc>
          <w:tcPr>
            <w:tcW w:w="84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265"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商</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品</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房</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预</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售</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资</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金</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监</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管</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系</w:t>
            </w:r>
          </w:p>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统</w:t>
            </w:r>
          </w:p>
        </w:tc>
        <w:tc>
          <w:tcPr>
            <w:tcW w:w="1268" w:type="dxa"/>
            <w:vMerge w:val="restart"/>
            <w:tcBorders>
              <w:top w:val="nil"/>
              <w:left w:val="nil"/>
              <w:right w:val="single" w:color="auto" w:sz="4" w:space="0"/>
            </w:tcBorders>
            <w:shd w:val="clear" w:color="auto" w:fill="auto"/>
            <w:vAlign w:val="center"/>
          </w:tcPr>
          <w:p>
            <w:pPr>
              <w:pStyle w:val="6"/>
              <w:numPr>
                <w:ilvl w:val="2"/>
                <w:numId w:val="0"/>
              </w:numPr>
              <w:ind w:leftChars="0"/>
              <w:jc w:val="center"/>
              <w:rPr>
                <w:rFonts w:ascii="仿宋_GB2312" w:hAnsi="等线" w:cs="宋体"/>
                <w:color w:val="000000"/>
                <w:kern w:val="0"/>
                <w:sz w:val="21"/>
                <w:szCs w:val="21"/>
              </w:rPr>
            </w:pPr>
            <w:bookmarkStart w:id="0" w:name="_Toc405449497"/>
            <w:r>
              <w:rPr>
                <w:rFonts w:hint="eastAsia" w:ascii="仿宋_GB2312" w:hAnsi="等线" w:eastAsia="仿宋_GB2312" w:cs="宋体"/>
                <w:b w:val="0"/>
                <w:color w:val="000000"/>
                <w:kern w:val="0"/>
                <w:sz w:val="21"/>
                <w:szCs w:val="21"/>
                <w:lang w:val="en-US" w:eastAsia="zh-CN" w:bidi="ar-SA"/>
              </w:rPr>
              <w:t>房屋数据理</w:t>
            </w:r>
            <w:bookmarkEnd w:id="0"/>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房屋数据采集</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实现多渠道楼盘表数据采集功能，以楼盘表为基础，进行账户开设、票据打印、影像资料上传等一系列操作，需要采集的数据为：物业区域、楼幢信息、单元信息、房屋信息。</w:t>
            </w:r>
          </w:p>
        </w:tc>
      </w:tr>
      <w:tr>
        <w:tblPrEx>
          <w:tblCellMar>
            <w:top w:w="0" w:type="dxa"/>
            <w:left w:w="108" w:type="dxa"/>
            <w:bottom w:w="0" w:type="dxa"/>
            <w:right w:w="108" w:type="dxa"/>
          </w:tblCellMar>
        </w:tblPrEx>
        <w:trPr>
          <w:trHeight w:val="480" w:hRule="atLeast"/>
        </w:trPr>
        <w:tc>
          <w:tcPr>
            <w:tcW w:w="56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p>
        </w:tc>
        <w:tc>
          <w:tcPr>
            <w:tcW w:w="84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p>
        </w:tc>
        <w:tc>
          <w:tcPr>
            <w:tcW w:w="1268" w:type="dxa"/>
            <w:vMerge w:val="continue"/>
            <w:tcBorders>
              <w:left w:val="nil"/>
              <w:right w:val="single" w:color="auto" w:sz="4" w:space="0"/>
            </w:tcBorders>
            <w:shd w:val="clear" w:color="auto" w:fill="auto"/>
            <w:vAlign w:val="center"/>
          </w:tcPr>
          <w:p>
            <w:pPr>
              <w:pStyle w:val="6"/>
              <w:numPr>
                <w:ilvl w:val="2"/>
                <w:numId w:val="0"/>
              </w:numPr>
              <w:ind w:leftChars="0"/>
              <w:jc w:val="center"/>
              <w:rPr>
                <w:rFonts w:hint="eastAsia" w:ascii="仿宋_GB2312" w:hAnsi="等线" w:eastAsia="仿宋_GB2312" w:cs="宋体"/>
                <w:b w:val="0"/>
                <w:color w:val="000000"/>
                <w:kern w:val="0"/>
                <w:sz w:val="21"/>
                <w:szCs w:val="21"/>
                <w:lang w:val="en-US" w:eastAsia="zh-CN" w:bidi="ar-SA"/>
              </w:rPr>
            </w:pP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rPr>
              <w:t>房屋数据补充及开户</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rPr>
              <w:t>开发企业或者物业企业可根据测绘成果报告通过系统进行手工录入、Excel导入等其他渠道对楼盘表数据进行补充，并上传相关依据</w:t>
            </w:r>
          </w:p>
        </w:tc>
      </w:tr>
      <w:tr>
        <w:tblPrEx>
          <w:tblCellMar>
            <w:top w:w="0" w:type="dxa"/>
            <w:left w:w="108" w:type="dxa"/>
            <w:bottom w:w="0" w:type="dxa"/>
            <w:right w:w="108" w:type="dxa"/>
          </w:tblCellMar>
        </w:tblPrEx>
        <w:trPr>
          <w:trHeight w:val="624" w:hRule="atLeast"/>
        </w:trPr>
        <w:tc>
          <w:tcPr>
            <w:tcW w:w="56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vMerge w:val="continue"/>
            <w:tcBorders>
              <w:left w:val="nil"/>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eastAsia="仿宋_GB2312" w:cs="宋体"/>
                <w:color w:val="000000"/>
                <w:kern w:val="0"/>
                <w:sz w:val="21"/>
                <w:szCs w:val="21"/>
                <w:lang w:val="en-US" w:eastAsia="zh-CN" w:bidi="ar-SA"/>
              </w:rPr>
              <w:t>房屋数据变更</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rPr>
              <w:t>实现对楼盘表数据的变更，变更后如影响分户资金缴存信息，自动对应缴金额以及相关状态进行核定</w:t>
            </w:r>
          </w:p>
        </w:tc>
      </w:tr>
      <w:tr>
        <w:tblPrEx>
          <w:tblCellMar>
            <w:top w:w="0" w:type="dxa"/>
            <w:left w:w="108" w:type="dxa"/>
            <w:bottom w:w="0" w:type="dxa"/>
            <w:right w:w="108" w:type="dxa"/>
          </w:tblCellMar>
        </w:tblPrEx>
        <w:trPr>
          <w:trHeight w:val="624" w:hRule="atLeast"/>
        </w:trPr>
        <w:tc>
          <w:tcPr>
            <w:tcW w:w="56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vMerge w:val="continue"/>
            <w:tcBorders>
              <w:left w:val="nil"/>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rPr>
              <w:t>房屋分割合并</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rPr>
              <w:t>实现对房屋的拆分和合并，拆分和合并后对分户应缴资金以及其他信息进行重新核定</w:t>
            </w:r>
          </w:p>
        </w:tc>
      </w:tr>
      <w:tr>
        <w:tblPrEx>
          <w:tblCellMar>
            <w:top w:w="0" w:type="dxa"/>
            <w:left w:w="108" w:type="dxa"/>
            <w:bottom w:w="0" w:type="dxa"/>
            <w:right w:w="108" w:type="dxa"/>
          </w:tblCellMar>
        </w:tblPrEx>
        <w:trPr>
          <w:trHeight w:val="720" w:hRule="atLeast"/>
        </w:trPr>
        <w:tc>
          <w:tcPr>
            <w:tcW w:w="56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5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房屋灭失</w:t>
            </w:r>
          </w:p>
        </w:tc>
        <w:tc>
          <w:tcPr>
            <w:tcW w:w="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rPr>
              <w:t>套</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rPr>
              <w:t>1</w:t>
            </w:r>
          </w:p>
        </w:tc>
        <w:tc>
          <w:tcPr>
            <w:tcW w:w="71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当房屋进行拆迁或者其他原因导致房屋灭失的，需要对房屋资金进行结息核定，将资金退还业主</w:t>
            </w:r>
          </w:p>
        </w:tc>
      </w:tr>
      <w:tr>
        <w:tblPrEx>
          <w:tblCellMar>
            <w:top w:w="0" w:type="dxa"/>
            <w:left w:w="108" w:type="dxa"/>
            <w:bottom w:w="0" w:type="dxa"/>
            <w:right w:w="108" w:type="dxa"/>
          </w:tblCellMar>
        </w:tblPrEx>
        <w:trPr>
          <w:trHeight w:val="1200" w:hRule="atLeast"/>
        </w:trPr>
        <w:tc>
          <w:tcPr>
            <w:tcW w:w="560"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lang w:val="en-US" w:eastAsia="zh-CN"/>
              </w:rPr>
              <w:t>105</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268" w:type="dxa"/>
            <w:vMerge w:val="restart"/>
            <w:tcBorders>
              <w:top w:val="nil"/>
              <w:left w:val="nil"/>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共用部位、共用设施设备管理</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分类目录管理</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实现对多级分类的分类目录数据的建立和维护功能</w:t>
            </w:r>
          </w:p>
        </w:tc>
      </w:tr>
      <w:tr>
        <w:tblPrEx>
          <w:tblCellMar>
            <w:top w:w="0" w:type="dxa"/>
            <w:left w:w="108" w:type="dxa"/>
            <w:bottom w:w="0" w:type="dxa"/>
            <w:right w:w="108" w:type="dxa"/>
          </w:tblCellMar>
        </w:tblPrEx>
        <w:trPr>
          <w:trHeight w:val="720" w:hRule="atLeast"/>
        </w:trPr>
        <w:tc>
          <w:tcPr>
            <w:tcW w:w="56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268"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共用部位、共用设施设备数据管理</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实现公共部位、公共设施设备信息进行分类维护，主要包括设备类型、设备名称、安装日期、保修日期等信息</w:t>
            </w:r>
          </w:p>
        </w:tc>
      </w:tr>
      <w:tr>
        <w:tblPrEx>
          <w:tblCellMar>
            <w:top w:w="0" w:type="dxa"/>
            <w:left w:w="108" w:type="dxa"/>
            <w:bottom w:w="0" w:type="dxa"/>
            <w:right w:w="108" w:type="dxa"/>
          </w:tblCellMar>
        </w:tblPrEx>
        <w:trPr>
          <w:trHeight w:val="624" w:hRule="atLeast"/>
        </w:trPr>
        <w:tc>
          <w:tcPr>
            <w:tcW w:w="560"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lang w:val="en-US" w:eastAsia="zh-CN"/>
              </w:rPr>
              <w:t>106</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268" w:type="dxa"/>
            <w:vMerge w:val="restart"/>
            <w:tcBorders>
              <w:top w:val="nil"/>
              <w:left w:val="nil"/>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参与机构管理</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机构信息备案</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vMerge w:val="restart"/>
            <w:tcBorders>
              <w:top w:val="nil"/>
              <w:left w:val="nil"/>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实现开发企业、金融机构等相关企业信息维护，通过外网自助申请，填写企业信息、上传企业相关材料，实现对企业的申请、更变、注销等功能</w:t>
            </w:r>
          </w:p>
        </w:tc>
      </w:tr>
      <w:tr>
        <w:tblPrEx>
          <w:tblCellMar>
            <w:top w:w="0" w:type="dxa"/>
            <w:left w:w="108" w:type="dxa"/>
            <w:bottom w:w="0" w:type="dxa"/>
            <w:right w:w="108" w:type="dxa"/>
          </w:tblCellMar>
        </w:tblPrEx>
        <w:trPr>
          <w:trHeight w:val="624" w:hRule="atLeast"/>
        </w:trPr>
        <w:tc>
          <w:tcPr>
            <w:tcW w:w="56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268" w:type="dxa"/>
            <w:vMerge w:val="continue"/>
            <w:tcBorders>
              <w:left w:val="nil"/>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机构信息变更</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lang w:val="en-US" w:eastAsia="zh-CN"/>
              </w:rPr>
              <w:t>1</w:t>
            </w:r>
          </w:p>
        </w:tc>
        <w:tc>
          <w:tcPr>
            <w:tcW w:w="7197" w:type="dxa"/>
            <w:vMerge w:val="continue"/>
            <w:tcBorders>
              <w:left w:val="nil"/>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p>
        </w:tc>
      </w:tr>
      <w:tr>
        <w:tblPrEx>
          <w:tblCellMar>
            <w:top w:w="0" w:type="dxa"/>
            <w:left w:w="108" w:type="dxa"/>
            <w:bottom w:w="0" w:type="dxa"/>
            <w:right w:w="108" w:type="dxa"/>
          </w:tblCellMar>
        </w:tblPrEx>
        <w:trPr>
          <w:trHeight w:val="680" w:hRule="atLeast"/>
        </w:trPr>
        <w:tc>
          <w:tcPr>
            <w:tcW w:w="56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268" w:type="dxa"/>
            <w:vMerge w:val="continue"/>
            <w:tcBorders>
              <w:left w:val="nil"/>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机构信息注销</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lang w:val="en-US" w:eastAsia="zh-CN"/>
              </w:rPr>
              <w:t>1</w:t>
            </w:r>
          </w:p>
        </w:tc>
        <w:tc>
          <w:tcPr>
            <w:tcW w:w="7197" w:type="dxa"/>
            <w:vMerge w:val="continue"/>
            <w:tcBorders>
              <w:left w:val="nil"/>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p>
        </w:tc>
      </w:tr>
      <w:tr>
        <w:tblPrEx>
          <w:tblCellMar>
            <w:top w:w="0" w:type="dxa"/>
            <w:left w:w="108" w:type="dxa"/>
            <w:bottom w:w="0" w:type="dxa"/>
            <w:right w:w="108" w:type="dxa"/>
          </w:tblCellMar>
        </w:tblPrEx>
        <w:trPr>
          <w:trHeight w:val="720" w:hRule="atLeast"/>
        </w:trPr>
        <w:tc>
          <w:tcPr>
            <w:tcW w:w="56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机构信息查询</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lang w:val="en-US" w:eastAsia="zh-CN"/>
              </w:rPr>
              <w:t>1</w:t>
            </w:r>
          </w:p>
        </w:tc>
        <w:tc>
          <w:tcPr>
            <w:tcW w:w="7197" w:type="dxa"/>
            <w:vMerge w:val="continue"/>
            <w:tcBorders>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p>
        </w:tc>
      </w:tr>
      <w:tr>
        <w:tblPrEx>
          <w:tblCellMar>
            <w:top w:w="0" w:type="dxa"/>
            <w:left w:w="108" w:type="dxa"/>
            <w:bottom w:w="0" w:type="dxa"/>
            <w:right w:w="108" w:type="dxa"/>
          </w:tblCellMar>
        </w:tblPrEx>
        <w:trPr>
          <w:trHeight w:val="312" w:hRule="atLeast"/>
        </w:trPr>
        <w:tc>
          <w:tcPr>
            <w:tcW w:w="560"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107</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vMerge w:val="restart"/>
            <w:tcBorders>
              <w:top w:val="nil"/>
              <w:left w:val="nil"/>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支撑数据管理</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监管银行管理</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对参与预售资金管理的监管银行信息的增加、变更、删除。</w:t>
            </w:r>
          </w:p>
        </w:tc>
      </w:tr>
      <w:tr>
        <w:tblPrEx>
          <w:tblCellMar>
            <w:top w:w="0" w:type="dxa"/>
            <w:left w:w="108" w:type="dxa"/>
            <w:bottom w:w="0" w:type="dxa"/>
            <w:right w:w="108" w:type="dxa"/>
          </w:tblCellMar>
        </w:tblPrEx>
        <w:trPr>
          <w:trHeight w:val="312" w:hRule="atLeast"/>
        </w:trPr>
        <w:tc>
          <w:tcPr>
            <w:tcW w:w="56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行政区域管理</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对基于各级政府划设并确定的行政区划进行维护和管理。</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108</w:t>
            </w:r>
          </w:p>
        </w:tc>
        <w:tc>
          <w:tcPr>
            <w:tcW w:w="84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监管账户备案</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开发企业根据预售许可申报楼盘数据网上申请建立预售资金监管账户，然后将监管账号信息录入监管系统进行备案，并将监管协议等相关材料上传。</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109</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资金缴存管理功能模块</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根据商品房合同信息打印商品房预售款缴款通知书，购房人凭交款通知单到银行申请付款；合同申请备案时，进行验证缴款的信息，系统自动根据银行端确认的缴款数额与合同约定的付款方式、金额进行比对，决定是否对此份合同备案。</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110</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日终对账</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银行系统与监管系统自动进行日终对账。</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111</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资金使用管理</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应实现将预售资金监管分为重点监管资金和一般监管资金，系统能根据楼盘表测绘面积数据、工程单位综合造价确定重点监管资金额度，并能根据工程建设的进度，自动对重点监管资金使用额度进行核定，实现房地产开发企业网上申请使用重点监管资金和非重点监管资金不同的流程管理。</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112</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监管项目进度管理</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应实现监管项目按对应的进度进行管理，进度节点有对应该的可使用资金比例，并且可以灵活配置。开发企业要申请对应进度的资金之前需要先进行进度申请，并提供形象进度照片，三方确认单等相关材料，待主管部门审核通过后即可申请对应进度的监管资金。申请最后一个进度时即可自动解除该监管项目的资金监管。</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113</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资金核退</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实现在业主退房、换房等需要核退资金的场景中，可以监管系统中申请对应房间的资金核退，并由主管部门进行审核，审核完成后提交划转指令至银行进行划转。</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114</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不明入账划分</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实现与银行系统进行接口对接，将未通过专用POS机和柜台缴款进入监管账户的资金，在日终对账时，以不明入账的形式推送至监管系统，然后由开发企业进行划分，划分至对应房间，划分完成后再计入监管账户余额，方可进行使用。</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115</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统计分析与报表管理</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实现综合查询、统计分析和报表功能，满足信息公开、业主查询和管理决策的需要。自动生成定制的业务统计报表，满足监管部门编制统计报表对统计数据的要求，提供统计分析功能，统计结果采用图、表方式展示。</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116</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动态预警</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eastAsia="zh-CN"/>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实现从“业务过程”、“资金到位”、“资金安全”、“资金利用率”、“业务效率”等方面进行风险预警，对即将发生的问题事前提示，最终达到差异化管理。并与其他子系统的功能衔接，在其他子系统的业务操作中进行预警提示，同时实现对预警信息的处理功能。具体包括合同逾期未入账预警、不明出账预警、账户余额预警、POS机使用情况预警、监管账户实时监测等功能。预售资金管理业务过程中需要进行预警的各项指标阀值以及触发条件进行设置。可根据实际需求调整各项预警指标及预警级别</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117</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系统接口</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与不动产业务系统对接主要实现：获取测绘成果信息、产权信息、预告登记等，用于预售资金系统基础信息搭建与历史数据整理。</w:t>
            </w:r>
          </w:p>
          <w:p>
            <w:pPr>
              <w:widowControl/>
              <w:spacing w:line="240" w:lineRule="exact"/>
              <w:jc w:val="both"/>
              <w:rPr>
                <w:rFonts w:hint="eastAsia" w:ascii="仿宋_GB2312" w:hAnsi="等线" w:cs="宋体"/>
                <w:color w:val="000000"/>
                <w:kern w:val="0"/>
                <w:sz w:val="21"/>
                <w:szCs w:val="21"/>
              </w:rPr>
            </w:pPr>
            <w:r>
              <w:rPr>
                <w:rFonts w:hint="eastAsia" w:ascii="仿宋_GB2312" w:hAnsi="等线" w:cs="宋体"/>
                <w:color w:val="000000"/>
                <w:kern w:val="0"/>
                <w:sz w:val="21"/>
                <w:szCs w:val="21"/>
              </w:rPr>
              <w:t>与房产交易业务系统对接主要实现：获取从业主体企业信息、人员想信息与信用管理信息；获取新建商品房网签及备案系统、存量房网签及备案系统网签合同的买受人信息、房屋信息等，用户生成预售资金分户账户信息、应缴金额等信息。</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118</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restart"/>
            <w:tcBorders>
              <w:left w:val="single" w:color="auto" w:sz="4" w:space="0"/>
              <w:right w:val="single" w:color="auto" w:sz="4" w:space="0"/>
            </w:tcBorders>
            <w:vAlign w:val="center"/>
          </w:tcPr>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城</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市</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污</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水</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处</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理</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系</w:t>
            </w:r>
          </w:p>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统</w:t>
            </w: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lang w:val="en-US" w:eastAsia="zh-CN"/>
              </w:rPr>
              <w:t>接口管理</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lang w:val="en-US" w:eastAsia="zh-CN"/>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lang w:val="en-US" w:eastAsia="zh-CN"/>
              </w:rPr>
              <w:t>实现管理应用平台提取现有城市污水管理系统数据或与现有城市污水管理系统数据对接，配置数据提取方式、数据提取格式、接口授权等。</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119</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数据实时监测</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与现有系统数据对接后，数据在相应的画面和表格中显示，对数据自行进行较大值、较小值、平均值、累计值进行统计。</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120</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图形处理</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与现有系统数据对接后，根据数据绘制实时曲线图和历史趋势曲线图。</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121</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自动报表生成</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与现有系统数据对接后，根据需求安不同的时间周期生成日、月、年报，也可按参数名称自动生成、对污水场的液位、流量、设备运行状态、电能、设备故障状态、动力设备等信息中心自动汇总生成报表。</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122</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rPr>
              <w:t>动态预警</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lang w:val="en-US" w:eastAsia="zh-CN"/>
              </w:rPr>
              <w:t>/</w:t>
            </w: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lang w:val="en-US" w:eastAsia="zh-CN"/>
              </w:rPr>
              <w:t>与现有系统数据对接后，可以对数据异常等进行动态预警</w:t>
            </w:r>
            <w:r>
              <w:rPr>
                <w:rFonts w:hint="eastAsia" w:ascii="仿宋_GB2312" w:hAnsi="等线" w:cs="宋体"/>
                <w:color w:val="000000"/>
                <w:kern w:val="0"/>
                <w:sz w:val="21"/>
                <w:szCs w:val="21"/>
              </w:rPr>
              <w:t>。</w:t>
            </w:r>
            <w:r>
              <w:rPr>
                <w:rFonts w:hint="eastAsia" w:ascii="仿宋_GB2312" w:hAnsi="等线" w:cs="宋体"/>
                <w:color w:val="000000"/>
                <w:kern w:val="0"/>
                <w:sz w:val="21"/>
                <w:szCs w:val="21"/>
                <w:lang w:val="en-US" w:eastAsia="zh-CN"/>
              </w:rPr>
              <w:t>可以对</w:t>
            </w:r>
            <w:r>
              <w:rPr>
                <w:rFonts w:hint="eastAsia" w:ascii="仿宋_GB2312" w:hAnsi="等线" w:cs="宋体"/>
                <w:color w:val="000000"/>
                <w:kern w:val="0"/>
                <w:sz w:val="21"/>
                <w:szCs w:val="21"/>
              </w:rPr>
              <w:t>预警的各项指标阀值以及触发条件进行设置。可根据实际需求调整各项预警指标及预警级别</w:t>
            </w:r>
          </w:p>
        </w:tc>
      </w:tr>
      <w:tr>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123</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等线" w:cs="宋体"/>
                <w:color w:val="000000"/>
                <w:kern w:val="0"/>
                <w:sz w:val="21"/>
                <w:szCs w:val="21"/>
              </w:rPr>
            </w:pPr>
          </w:p>
        </w:tc>
        <w:tc>
          <w:tcPr>
            <w:tcW w:w="1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rPr>
              <w:t>设备信息</w:t>
            </w:r>
            <w:r>
              <w:rPr>
                <w:rFonts w:hint="eastAsia" w:ascii="仿宋_GB2312" w:hAnsi="等线" w:cs="宋体"/>
                <w:color w:val="000000"/>
                <w:kern w:val="0"/>
                <w:sz w:val="21"/>
                <w:szCs w:val="21"/>
                <w:lang w:val="en-US" w:eastAsia="zh-CN"/>
              </w:rPr>
              <w:t>查看</w:t>
            </w:r>
          </w:p>
        </w:tc>
        <w:tc>
          <w:tcPr>
            <w:tcW w:w="15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lang w:val="en-US" w:eastAsia="zh-CN"/>
              </w:rPr>
            </w:pPr>
          </w:p>
        </w:tc>
        <w:tc>
          <w:tcPr>
            <w:tcW w:w="56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与现有系统数据对接后，可查看设备档案信息，如:厂家、功率、生产日期等</w:t>
            </w:r>
          </w:p>
        </w:tc>
      </w:tr>
      <w:tr>
        <w:tblPrEx>
          <w:tblCellMar>
            <w:top w:w="0" w:type="dxa"/>
            <w:left w:w="108" w:type="dxa"/>
            <w:bottom w:w="0" w:type="dxa"/>
            <w:right w:w="108" w:type="dxa"/>
          </w:tblCellMar>
        </w:tblPrEx>
        <w:trPr>
          <w:trHeight w:val="297"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124</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数</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据</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交</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换</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共</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享</w:t>
            </w:r>
          </w:p>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系</w:t>
            </w:r>
          </w:p>
          <w:p>
            <w:pPr>
              <w:widowControl/>
              <w:spacing w:line="240" w:lineRule="exact"/>
              <w:jc w:val="center"/>
              <w:rPr>
                <w:rFonts w:ascii="仿宋_GB2312" w:hAnsi="等线" w:cs="宋体"/>
                <w:color w:val="000000"/>
                <w:kern w:val="0"/>
                <w:sz w:val="21"/>
                <w:szCs w:val="21"/>
              </w:rPr>
            </w:pPr>
            <w:r>
              <w:rPr>
                <w:rFonts w:hint="eastAsia" w:ascii="仿宋_GB2312" w:hAnsi="等线" w:cs="宋体"/>
                <w:color w:val="000000"/>
                <w:kern w:val="0"/>
                <w:sz w:val="21"/>
                <w:szCs w:val="21"/>
              </w:rPr>
              <w:t>统</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应用平台信息</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cs="宋体"/>
                <w:color w:val="000000"/>
                <w:kern w:val="0"/>
                <w:sz w:val="21"/>
                <w:szCs w:val="21"/>
              </w:rPr>
            </w:pPr>
            <w:r>
              <w:rPr>
                <w:rFonts w:hint="eastAsia" w:ascii="仿宋_GB2312" w:hAnsi="等线" w:cs="宋体"/>
                <w:color w:val="000000"/>
                <w:kern w:val="0"/>
                <w:sz w:val="21"/>
                <w:szCs w:val="21"/>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实现管理各子系统或与其他部门数据交换的方向及内容。</w:t>
            </w:r>
          </w:p>
        </w:tc>
      </w:tr>
      <w:tr>
        <w:tblPrEx>
          <w:tblCellMar>
            <w:top w:w="0" w:type="dxa"/>
            <w:left w:w="108" w:type="dxa"/>
            <w:bottom w:w="0" w:type="dxa"/>
            <w:right w:w="108" w:type="dxa"/>
          </w:tblCellMar>
        </w:tblPrEx>
        <w:trPr>
          <w:trHeight w:val="312"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lang w:val="en-US" w:eastAsia="zh-CN"/>
              </w:rPr>
              <w:t>125</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监测机构数据对接</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lang w:val="en-US" w:eastAsia="zh-CN" w:bidi="ar-SA"/>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通过互联网实现各检测机构内部的检测管理系统与建设工程质量检测监管系统之间以及各商品混凝土生产企业与混凝土质量追踪及动态系统之间的数据交换，数据交换的方向及内容可在系统中进行设置，交换时可进行实时交换，也可进行定时交换，只要将有关参数设置好，系统将根据参数设置通过数据库后台自动进行数据交换，整个交换过程人工不能干预，保证了数据的真实性和及时性。</w:t>
            </w:r>
          </w:p>
        </w:tc>
      </w:tr>
      <w:tr>
        <w:tblPrEx>
          <w:tblCellMar>
            <w:top w:w="0" w:type="dxa"/>
            <w:left w:w="108" w:type="dxa"/>
            <w:bottom w:w="0" w:type="dxa"/>
            <w:right w:w="108" w:type="dxa"/>
          </w:tblCellMar>
        </w:tblPrEx>
        <w:trPr>
          <w:trHeight w:val="312"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lang w:val="en-US" w:eastAsia="zh-CN"/>
              </w:rPr>
              <w:t>126</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lang w:val="en-US" w:eastAsia="zh-CN"/>
              </w:rPr>
              <w:t>接口管理</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default"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lang w:val="en-US" w:eastAsia="zh-CN"/>
              </w:rPr>
              <w:t>实现管理应用平台下数据交换接口，配置数据交换方式、数据交换格式、接口授权等。</w:t>
            </w:r>
          </w:p>
        </w:tc>
      </w:tr>
      <w:tr>
        <w:tblPrEx>
          <w:tblCellMar>
            <w:top w:w="0" w:type="dxa"/>
            <w:left w:w="108" w:type="dxa"/>
            <w:bottom w:w="0" w:type="dxa"/>
            <w:right w:w="108" w:type="dxa"/>
          </w:tblCellMar>
        </w:tblPrEx>
        <w:trPr>
          <w:trHeight w:val="312"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lang w:val="en-US" w:eastAsia="zh-CN"/>
              </w:rPr>
              <w:t>127</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lang w:val="en-US" w:eastAsia="zh-CN"/>
              </w:rPr>
              <w:t>接口分类管理</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default"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lang w:val="en-US" w:eastAsia="zh-CN"/>
              </w:rPr>
              <w:t>实现对接口进行分类管理。</w:t>
            </w:r>
          </w:p>
        </w:tc>
      </w:tr>
      <w:tr>
        <w:tblPrEx>
          <w:tblCellMar>
            <w:top w:w="0" w:type="dxa"/>
            <w:left w:w="108" w:type="dxa"/>
            <w:bottom w:w="0" w:type="dxa"/>
            <w:right w:w="108" w:type="dxa"/>
          </w:tblCellMar>
        </w:tblPrEx>
        <w:trPr>
          <w:trHeight w:val="312"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lang w:val="en-US" w:eastAsia="zh-CN"/>
              </w:rPr>
              <w:t>128</w:t>
            </w:r>
          </w:p>
        </w:tc>
        <w:tc>
          <w:tcPr>
            <w:tcW w:w="845" w:type="dxa"/>
            <w:vMerge w:val="continue"/>
            <w:tcBorders>
              <w:left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lang w:val="en-US" w:eastAsia="zh-CN"/>
              </w:rPr>
              <w:t>接口测试工具</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lang w:val="en-US" w:eastAsia="zh-CN"/>
              </w:rPr>
              <w:t>利用工具进行接口测试，提供测试效率，多协议支持、测试场景自动化。</w:t>
            </w:r>
          </w:p>
        </w:tc>
      </w:tr>
      <w:tr>
        <w:tblPrEx>
          <w:tblCellMar>
            <w:top w:w="0" w:type="dxa"/>
            <w:left w:w="108" w:type="dxa"/>
            <w:bottom w:w="0" w:type="dxa"/>
            <w:right w:w="108" w:type="dxa"/>
          </w:tblCellMar>
        </w:tblPrEx>
        <w:trPr>
          <w:trHeight w:val="312"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cs="宋体"/>
                <w:color w:val="000000"/>
                <w:kern w:val="0"/>
                <w:sz w:val="21"/>
                <w:szCs w:val="21"/>
                <w:lang w:val="en-US" w:eastAsia="zh-CN"/>
              </w:rPr>
            </w:pPr>
            <w:r>
              <w:rPr>
                <w:rFonts w:hint="eastAsia" w:ascii="仿宋_GB2312" w:hAnsi="等线" w:cs="宋体"/>
                <w:color w:val="000000"/>
                <w:kern w:val="0"/>
                <w:sz w:val="21"/>
                <w:szCs w:val="21"/>
                <w:lang w:val="en-US" w:eastAsia="zh-CN"/>
              </w:rPr>
              <w:t>129</w:t>
            </w:r>
          </w:p>
        </w:tc>
        <w:tc>
          <w:tcPr>
            <w:tcW w:w="845"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仿宋_GB2312" w:hAnsi="等线" w:cs="宋体"/>
                <w:color w:val="000000"/>
                <w:kern w:val="0"/>
                <w:sz w:val="21"/>
                <w:szCs w:val="21"/>
              </w:rPr>
            </w:pPr>
          </w:p>
        </w:tc>
        <w:tc>
          <w:tcPr>
            <w:tcW w:w="12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cs="宋体"/>
                <w:color w:val="000000"/>
                <w:kern w:val="0"/>
                <w:sz w:val="21"/>
                <w:szCs w:val="21"/>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接口使用情况统计分析</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lang w:val="en-US" w:eastAsia="zh-CN"/>
              </w:rPr>
              <w:t>/</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rPr>
              <w:t>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等线" w:eastAsia="仿宋_GB2312" w:cs="宋体"/>
                <w:color w:val="000000"/>
                <w:kern w:val="0"/>
                <w:sz w:val="21"/>
                <w:szCs w:val="21"/>
                <w:lang w:val="en-US" w:eastAsia="zh-CN" w:bidi="ar-SA"/>
              </w:rPr>
            </w:pPr>
            <w:r>
              <w:rPr>
                <w:rFonts w:hint="eastAsia" w:ascii="仿宋_GB2312" w:hAnsi="等线" w:cs="宋体"/>
                <w:color w:val="000000"/>
                <w:kern w:val="0"/>
                <w:sz w:val="21"/>
                <w:szCs w:val="21"/>
                <w:lang w:val="en-US" w:eastAsia="zh-CN"/>
              </w:rPr>
              <w:t>1</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default" w:ascii="仿宋_GB2312" w:hAnsi="等线" w:eastAsia="仿宋_GB2312" w:cs="宋体"/>
                <w:color w:val="000000"/>
                <w:kern w:val="0"/>
                <w:sz w:val="21"/>
                <w:szCs w:val="21"/>
                <w:lang w:val="en-US" w:eastAsia="zh-CN"/>
              </w:rPr>
            </w:pPr>
            <w:r>
              <w:rPr>
                <w:rFonts w:hint="eastAsia" w:ascii="仿宋_GB2312" w:hAnsi="等线" w:cs="宋体"/>
                <w:color w:val="000000"/>
                <w:kern w:val="0"/>
                <w:sz w:val="21"/>
                <w:szCs w:val="21"/>
                <w:lang w:val="en-US" w:eastAsia="zh-CN"/>
              </w:rPr>
              <w:t>分接口类型、应用平台对使用接口情况统计分析；接口使用情况统计分析等。</w:t>
            </w:r>
          </w:p>
        </w:tc>
      </w:tr>
    </w:tbl>
    <w:p/>
    <w:sectPr>
      <w:footerReference r:id="rId5" w:type="default"/>
      <w:pgSz w:w="16838" w:h="11906" w:orient="landscape"/>
      <w:pgMar w:top="1800" w:right="1440" w:bottom="1800" w:left="144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5477060"/>
      <w:docPartObj>
        <w:docPartGallery w:val="autotext"/>
      </w:docPartObj>
    </w:sdtPr>
    <w:sdtEndPr>
      <w:rPr>
        <w:b/>
        <w:bCs/>
      </w:rPr>
    </w:sdtEndPr>
    <w:sdtContent>
      <w:sdt>
        <w:sdtPr>
          <w:id w:val="1728636285"/>
          <w:docPartObj>
            <w:docPartGallery w:val="autotext"/>
          </w:docPartObj>
        </w:sdtPr>
        <w:sdtEndPr>
          <w:rPr>
            <w:b/>
            <w:bCs/>
          </w:rPr>
        </w:sdtEndPr>
        <w:sdtContent>
          <w:p>
            <w:pPr>
              <w:pStyle w:val="10"/>
              <w:jc w:val="center"/>
              <w:rPr>
                <w:b/>
                <w:bCs/>
              </w:rPr>
            </w:pPr>
            <w:r>
              <w:rPr>
                <w:rFonts w:hint="eastAsia" w:ascii="仿宋_GB2312"/>
                <w:b/>
                <w:bCs/>
                <w:sz w:val="21"/>
                <w:szCs w:val="21"/>
              </w:rPr>
              <w:t>第</w:t>
            </w:r>
            <w:r>
              <w:rPr>
                <w:rFonts w:hint="eastAsia" w:ascii="仿宋_GB2312"/>
                <w:b/>
                <w:bCs/>
                <w:sz w:val="21"/>
                <w:szCs w:val="21"/>
                <w:lang w:val="zh-CN"/>
              </w:rPr>
              <w:t xml:space="preserve"> </w:t>
            </w:r>
            <w:r>
              <w:rPr>
                <w:rFonts w:hint="eastAsia" w:ascii="仿宋_GB2312"/>
                <w:b/>
                <w:bCs/>
                <w:sz w:val="21"/>
                <w:szCs w:val="21"/>
              </w:rPr>
              <w:fldChar w:fldCharType="begin"/>
            </w:r>
            <w:r>
              <w:rPr>
                <w:rFonts w:hint="eastAsia" w:ascii="仿宋_GB2312"/>
                <w:b/>
                <w:bCs/>
                <w:sz w:val="21"/>
                <w:szCs w:val="21"/>
              </w:rPr>
              <w:instrText xml:space="preserve">PAGE</w:instrText>
            </w:r>
            <w:r>
              <w:rPr>
                <w:rFonts w:hint="eastAsia" w:ascii="仿宋_GB2312"/>
                <w:b/>
                <w:bCs/>
                <w:sz w:val="21"/>
                <w:szCs w:val="21"/>
              </w:rPr>
              <w:fldChar w:fldCharType="separate"/>
            </w:r>
            <w:r>
              <w:rPr>
                <w:rFonts w:hint="eastAsia" w:ascii="仿宋_GB2312"/>
                <w:b/>
                <w:bCs/>
                <w:sz w:val="21"/>
                <w:szCs w:val="21"/>
                <w:lang w:val="zh-CN"/>
              </w:rPr>
              <w:t>2</w:t>
            </w:r>
            <w:r>
              <w:rPr>
                <w:rFonts w:hint="eastAsia" w:ascii="仿宋_GB2312"/>
                <w:b/>
                <w:bCs/>
                <w:sz w:val="21"/>
                <w:szCs w:val="21"/>
              </w:rPr>
              <w:fldChar w:fldCharType="end"/>
            </w:r>
            <w:r>
              <w:rPr>
                <w:rFonts w:ascii="仿宋_GB2312"/>
                <w:b/>
                <w:bCs/>
                <w:sz w:val="21"/>
                <w:szCs w:val="21"/>
              </w:rPr>
              <w:t xml:space="preserve"> </w:t>
            </w:r>
            <w:r>
              <w:rPr>
                <w:rFonts w:hint="eastAsia" w:ascii="仿宋_GB2312"/>
                <w:b/>
                <w:bCs/>
                <w:sz w:val="21"/>
                <w:szCs w:val="21"/>
                <w:lang w:val="zh-CN"/>
              </w:rPr>
              <w:t xml:space="preserve">页/共 </w:t>
            </w:r>
            <w:r>
              <w:rPr>
                <w:rFonts w:hint="eastAsia" w:ascii="仿宋_GB2312"/>
                <w:b/>
                <w:bCs/>
                <w:sz w:val="21"/>
                <w:szCs w:val="21"/>
              </w:rPr>
              <w:fldChar w:fldCharType="begin"/>
            </w:r>
            <w:r>
              <w:rPr>
                <w:rFonts w:hint="eastAsia" w:ascii="仿宋_GB2312"/>
                <w:b/>
                <w:bCs/>
                <w:sz w:val="21"/>
                <w:szCs w:val="21"/>
              </w:rPr>
              <w:instrText xml:space="preserve">NUMPAGES</w:instrText>
            </w:r>
            <w:r>
              <w:rPr>
                <w:rFonts w:hint="eastAsia" w:ascii="仿宋_GB2312"/>
                <w:b/>
                <w:bCs/>
                <w:sz w:val="21"/>
                <w:szCs w:val="21"/>
              </w:rPr>
              <w:fldChar w:fldCharType="separate"/>
            </w:r>
            <w:r>
              <w:rPr>
                <w:rFonts w:hint="eastAsia" w:ascii="仿宋_GB2312"/>
                <w:b/>
                <w:bCs/>
                <w:sz w:val="21"/>
                <w:szCs w:val="21"/>
                <w:lang w:val="zh-CN"/>
              </w:rPr>
              <w:t>2</w:t>
            </w:r>
            <w:r>
              <w:rPr>
                <w:rFonts w:hint="eastAsia" w:ascii="仿宋_GB2312"/>
                <w:b/>
                <w:bCs/>
                <w:sz w:val="21"/>
                <w:szCs w:val="21"/>
              </w:rPr>
              <w:fldChar w:fldCharType="end"/>
            </w:r>
            <w:r>
              <w:rPr>
                <w:rFonts w:ascii="仿宋_GB2312"/>
                <w:b/>
                <w:bCs/>
                <w:sz w:val="21"/>
                <w:szCs w:val="21"/>
              </w:rPr>
              <w:t xml:space="preserve"> </w:t>
            </w:r>
            <w:r>
              <w:rPr>
                <w:rFonts w:hint="eastAsia" w:ascii="仿宋_GB2312"/>
                <w:b/>
                <w:bCs/>
                <w:sz w:val="21"/>
                <w:szCs w:val="21"/>
                <w:lang w:val="zh-CN"/>
              </w:rPr>
              <w:t>页</w:t>
            </w:r>
          </w:p>
        </w:sdtContent>
      </w:sdt>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BFE17"/>
    <w:multiLevelType w:val="multilevel"/>
    <w:tmpl w:val="141BFE17"/>
    <w:lvl w:ilvl="0" w:tentative="0">
      <w:start w:val="1"/>
      <w:numFmt w:val="chineseCountingThousand"/>
      <w:lvlText w:val="第%1章"/>
      <w:lvlJc w:val="left"/>
      <w:pPr>
        <w:ind w:left="432" w:hanging="432"/>
      </w:pPr>
      <w:rPr>
        <w:rFonts w:hint="eastAsia"/>
      </w:rPr>
    </w:lvl>
    <w:lvl w:ilvl="1" w:tentative="0">
      <w:start w:val="1"/>
      <w:numFmt w:val="decimal"/>
      <w:isLgl/>
      <w:lvlText w:val="%1.%2"/>
      <w:lvlJc w:val="left"/>
      <w:pPr>
        <w:ind w:left="425" w:hanging="425"/>
      </w:pPr>
      <w:rPr>
        <w:rFonts w:hint="eastAsia"/>
      </w:rPr>
    </w:lvl>
    <w:lvl w:ilvl="2" w:tentative="0">
      <w:start w:val="1"/>
      <w:numFmt w:val="decimal"/>
      <w:pStyle w:val="6"/>
      <w:isLgl/>
      <w:lvlText w:val="%1.%2.%3"/>
      <w:lvlJc w:val="left"/>
      <w:pPr>
        <w:ind w:left="425" w:hanging="425"/>
      </w:pPr>
      <w:rPr>
        <w:rFonts w:hint="eastAsia"/>
      </w:rPr>
    </w:lvl>
    <w:lvl w:ilvl="3" w:tentative="0">
      <w:start w:val="1"/>
      <w:numFmt w:val="decimal"/>
      <w:isLgl/>
      <w:lvlText w:val="%1.%2.%3.%4"/>
      <w:lvlJc w:val="left"/>
      <w:pPr>
        <w:ind w:left="425" w:hanging="425"/>
      </w:pPr>
      <w:rPr>
        <w:rFonts w:hint="eastAsia"/>
      </w:rPr>
    </w:lvl>
    <w:lvl w:ilvl="4" w:tentative="0">
      <w:start w:val="1"/>
      <w:numFmt w:val="decimal"/>
      <w:isLgl/>
      <w:lvlText w:val="%1.%2.%3.%4.%5"/>
      <w:lvlJc w:val="left"/>
      <w:pPr>
        <w:ind w:left="425" w:hanging="425"/>
      </w:pPr>
      <w:rPr>
        <w:rFonts w:hint="eastAsia"/>
      </w:rPr>
    </w:lvl>
    <w:lvl w:ilvl="5" w:tentative="0">
      <w:start w:val="1"/>
      <w:numFmt w:val="decimal"/>
      <w:isLgl/>
      <w:lvlText w:val="%1.%2.%3.%4.%5.%6"/>
      <w:lvlJc w:val="left"/>
      <w:pPr>
        <w:ind w:left="2003" w:hanging="1720"/>
      </w:pPr>
      <w:rPr>
        <w:rFonts w:hint="eastAsia" w:ascii="Times New Roman" w:hAnsi="Times New Roman" w:eastAsia="宋体" w:cs="Times New Roman"/>
        <w:b/>
        <w:bCs w:val="0"/>
        <w:i w:val="0"/>
        <w:iCs w:val="0"/>
        <w:caps w:val="0"/>
        <w:smallCaps w:val="0"/>
        <w:strike w:val="0"/>
        <w:dstrike w:val="0"/>
        <w:vanish w:val="0"/>
        <w:color w:val="000000"/>
        <w:spacing w:val="0"/>
        <w:position w:val="0"/>
        <w:sz w:val="24"/>
        <w:u w:val="none"/>
        <w:vertAlign w:val="baseline"/>
        <w14:shadow w14:blurRad="0" w14:dist="0" w14:dir="0" w14:sx="0" w14:sy="0" w14:kx="0" w14:ky="0" w14:algn="none">
          <w14:srgbClr w14:val="000000"/>
        </w14:shadow>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812"/>
    <w:rsid w:val="00023072"/>
    <w:rsid w:val="000F539E"/>
    <w:rsid w:val="000F7288"/>
    <w:rsid w:val="00321812"/>
    <w:rsid w:val="00393AC9"/>
    <w:rsid w:val="003B15EF"/>
    <w:rsid w:val="003C4D74"/>
    <w:rsid w:val="00404765"/>
    <w:rsid w:val="006757A8"/>
    <w:rsid w:val="006A35C9"/>
    <w:rsid w:val="007037FA"/>
    <w:rsid w:val="00854082"/>
    <w:rsid w:val="009D6184"/>
    <w:rsid w:val="009E650F"/>
    <w:rsid w:val="00A065D6"/>
    <w:rsid w:val="00A23809"/>
    <w:rsid w:val="00AA1B8D"/>
    <w:rsid w:val="00B603C0"/>
    <w:rsid w:val="00D71165"/>
    <w:rsid w:val="00E24D88"/>
    <w:rsid w:val="00F46006"/>
    <w:rsid w:val="0187113E"/>
    <w:rsid w:val="01902E76"/>
    <w:rsid w:val="019C39E0"/>
    <w:rsid w:val="034350C1"/>
    <w:rsid w:val="0357579D"/>
    <w:rsid w:val="0386094C"/>
    <w:rsid w:val="048D7B0F"/>
    <w:rsid w:val="04AF6D40"/>
    <w:rsid w:val="04DE776B"/>
    <w:rsid w:val="06C73F31"/>
    <w:rsid w:val="077F0653"/>
    <w:rsid w:val="0A277080"/>
    <w:rsid w:val="0A8819FE"/>
    <w:rsid w:val="0AFE2C17"/>
    <w:rsid w:val="0B1C069E"/>
    <w:rsid w:val="0B713860"/>
    <w:rsid w:val="0BA378AB"/>
    <w:rsid w:val="0D0155A1"/>
    <w:rsid w:val="0E3033E0"/>
    <w:rsid w:val="0E377E8A"/>
    <w:rsid w:val="0E3F24A0"/>
    <w:rsid w:val="0FED344D"/>
    <w:rsid w:val="105850EB"/>
    <w:rsid w:val="106B0CDF"/>
    <w:rsid w:val="11695331"/>
    <w:rsid w:val="116F73BB"/>
    <w:rsid w:val="11757E4E"/>
    <w:rsid w:val="126A6B3C"/>
    <w:rsid w:val="12905806"/>
    <w:rsid w:val="12EA3D1D"/>
    <w:rsid w:val="134E7A96"/>
    <w:rsid w:val="1365596B"/>
    <w:rsid w:val="138F4E88"/>
    <w:rsid w:val="139538D0"/>
    <w:rsid w:val="13BA1A6D"/>
    <w:rsid w:val="149B7094"/>
    <w:rsid w:val="14E44C0B"/>
    <w:rsid w:val="15A01AB2"/>
    <w:rsid w:val="17B42F58"/>
    <w:rsid w:val="17FD14D9"/>
    <w:rsid w:val="18190896"/>
    <w:rsid w:val="19321E2F"/>
    <w:rsid w:val="19B314A2"/>
    <w:rsid w:val="19C47EF9"/>
    <w:rsid w:val="1A231ED6"/>
    <w:rsid w:val="1AA65C1C"/>
    <w:rsid w:val="1BE33908"/>
    <w:rsid w:val="1C073997"/>
    <w:rsid w:val="1D067BB7"/>
    <w:rsid w:val="1E716754"/>
    <w:rsid w:val="1F595C06"/>
    <w:rsid w:val="1F78500A"/>
    <w:rsid w:val="1FBA7704"/>
    <w:rsid w:val="20294E24"/>
    <w:rsid w:val="21130A40"/>
    <w:rsid w:val="212871A2"/>
    <w:rsid w:val="21D92E19"/>
    <w:rsid w:val="22613C93"/>
    <w:rsid w:val="237C032B"/>
    <w:rsid w:val="24003944"/>
    <w:rsid w:val="24861AEA"/>
    <w:rsid w:val="281B4194"/>
    <w:rsid w:val="28F8400D"/>
    <w:rsid w:val="29566657"/>
    <w:rsid w:val="2A2C1A0F"/>
    <w:rsid w:val="2ACD0813"/>
    <w:rsid w:val="2CF0017E"/>
    <w:rsid w:val="2DC4481A"/>
    <w:rsid w:val="2E1674CE"/>
    <w:rsid w:val="2E356CCF"/>
    <w:rsid w:val="2F755193"/>
    <w:rsid w:val="302A2CDB"/>
    <w:rsid w:val="3045325B"/>
    <w:rsid w:val="33777CDA"/>
    <w:rsid w:val="33A9357D"/>
    <w:rsid w:val="3447250E"/>
    <w:rsid w:val="34D413B6"/>
    <w:rsid w:val="3602058C"/>
    <w:rsid w:val="36A6258A"/>
    <w:rsid w:val="38BF2078"/>
    <w:rsid w:val="3A1C711E"/>
    <w:rsid w:val="3D055DC9"/>
    <w:rsid w:val="3D2F026A"/>
    <w:rsid w:val="3D552BFB"/>
    <w:rsid w:val="40587ECF"/>
    <w:rsid w:val="425A34FB"/>
    <w:rsid w:val="45A6278B"/>
    <w:rsid w:val="45C84A6F"/>
    <w:rsid w:val="46182B0E"/>
    <w:rsid w:val="471A47BA"/>
    <w:rsid w:val="477A588F"/>
    <w:rsid w:val="48755516"/>
    <w:rsid w:val="487E148A"/>
    <w:rsid w:val="48BA563D"/>
    <w:rsid w:val="496F48C4"/>
    <w:rsid w:val="49703E07"/>
    <w:rsid w:val="4A7329D5"/>
    <w:rsid w:val="4AB7503D"/>
    <w:rsid w:val="4B564F71"/>
    <w:rsid w:val="4CE71536"/>
    <w:rsid w:val="4DA339AA"/>
    <w:rsid w:val="4DCD162D"/>
    <w:rsid w:val="4F717588"/>
    <w:rsid w:val="4FA94033"/>
    <w:rsid w:val="52A2024D"/>
    <w:rsid w:val="536E42C9"/>
    <w:rsid w:val="53C4638A"/>
    <w:rsid w:val="543E7B9D"/>
    <w:rsid w:val="55A93493"/>
    <w:rsid w:val="55F76D8B"/>
    <w:rsid w:val="56525F82"/>
    <w:rsid w:val="585F2BA5"/>
    <w:rsid w:val="586D4EAA"/>
    <w:rsid w:val="59361BA3"/>
    <w:rsid w:val="595B21A2"/>
    <w:rsid w:val="598B0FB3"/>
    <w:rsid w:val="5A064047"/>
    <w:rsid w:val="5C996DF3"/>
    <w:rsid w:val="5ECD232C"/>
    <w:rsid w:val="60AF5BC5"/>
    <w:rsid w:val="61332ADF"/>
    <w:rsid w:val="61357313"/>
    <w:rsid w:val="628218E8"/>
    <w:rsid w:val="62BC55DC"/>
    <w:rsid w:val="642C2942"/>
    <w:rsid w:val="664B61A6"/>
    <w:rsid w:val="67CE0680"/>
    <w:rsid w:val="6850646A"/>
    <w:rsid w:val="68C624A6"/>
    <w:rsid w:val="6C292D08"/>
    <w:rsid w:val="6D3D4DA0"/>
    <w:rsid w:val="6F534712"/>
    <w:rsid w:val="70984B9E"/>
    <w:rsid w:val="7291585D"/>
    <w:rsid w:val="72BB5197"/>
    <w:rsid w:val="73D92513"/>
    <w:rsid w:val="73FC0BE3"/>
    <w:rsid w:val="754D581D"/>
    <w:rsid w:val="75FA58AB"/>
    <w:rsid w:val="77A14273"/>
    <w:rsid w:val="77A62956"/>
    <w:rsid w:val="77BD690D"/>
    <w:rsid w:val="782004C3"/>
    <w:rsid w:val="79315859"/>
    <w:rsid w:val="79B32A8A"/>
    <w:rsid w:val="7B111DDD"/>
    <w:rsid w:val="7B783853"/>
    <w:rsid w:val="7BC16D89"/>
    <w:rsid w:val="7C00673B"/>
    <w:rsid w:val="7C0419B2"/>
    <w:rsid w:val="7C5C7D69"/>
    <w:rsid w:val="7C966484"/>
    <w:rsid w:val="7D7D5F68"/>
    <w:rsid w:val="7DC62B7B"/>
    <w:rsid w:val="7DCE2167"/>
    <w:rsid w:val="7DD41D69"/>
    <w:rsid w:val="7E850C45"/>
    <w:rsid w:val="7F9F7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8" w:lineRule="exact"/>
      <w:jc w:val="both"/>
    </w:pPr>
    <w:rPr>
      <w:rFonts w:eastAsia="仿宋_GB2312" w:asciiTheme="minorHAnsi" w:hAnsiTheme="minorHAnsi" w:cstheme="minorBidi"/>
      <w:kern w:val="2"/>
      <w:sz w:val="32"/>
      <w:szCs w:val="22"/>
      <w:lang w:val="en-US" w:eastAsia="zh-CN" w:bidi="ar-SA"/>
    </w:rPr>
  </w:style>
  <w:style w:type="paragraph" w:styleId="3">
    <w:name w:val="heading 1"/>
    <w:basedOn w:val="1"/>
    <w:next w:val="4"/>
    <w:link w:val="17"/>
    <w:qFormat/>
    <w:uiPriority w:val="9"/>
    <w:pPr>
      <w:spacing w:before="340" w:after="330" w:line="578" w:lineRule="auto"/>
      <w:outlineLvl w:val="0"/>
    </w:pPr>
    <w:rPr>
      <w:rFonts w:eastAsia="黑体"/>
      <w:kern w:val="44"/>
      <w:szCs w:val="44"/>
    </w:rPr>
  </w:style>
  <w:style w:type="paragraph" w:styleId="5">
    <w:name w:val="heading 2"/>
    <w:basedOn w:val="1"/>
    <w:next w:val="1"/>
    <w:link w:val="18"/>
    <w:semiHidden/>
    <w:unhideWhenUsed/>
    <w:qFormat/>
    <w:uiPriority w:val="9"/>
    <w:pPr>
      <w:keepNext/>
      <w:keepLines/>
      <w:spacing w:before="260" w:after="260" w:line="416" w:lineRule="atLeast"/>
      <w:outlineLvl w:val="1"/>
    </w:pPr>
    <w:rPr>
      <w:rFonts w:asciiTheme="majorHAnsi" w:hAnsiTheme="majorHAnsi" w:eastAsiaTheme="majorEastAsia" w:cstheme="majorBidi"/>
      <w:b/>
      <w:bCs/>
      <w:szCs w:val="32"/>
    </w:rPr>
  </w:style>
  <w:style w:type="paragraph" w:styleId="6">
    <w:name w:val="heading 3"/>
    <w:basedOn w:val="1"/>
    <w:next w:val="7"/>
    <w:qFormat/>
    <w:uiPriority w:val="99"/>
    <w:pPr>
      <w:keepNext/>
      <w:keepLines/>
      <w:numPr>
        <w:ilvl w:val="2"/>
        <w:numId w:val="1"/>
      </w:numPr>
      <w:spacing w:before="100" w:after="100" w:line="360" w:lineRule="auto"/>
      <w:outlineLvl w:val="2"/>
    </w:pPr>
    <w:rPr>
      <w:b/>
      <w:sz w:val="32"/>
      <w:szCs w:val="20"/>
    </w:rPr>
  </w:style>
  <w:style w:type="paragraph" w:styleId="8">
    <w:name w:val="heading 4"/>
    <w:basedOn w:val="3"/>
    <w:next w:val="4"/>
    <w:unhideWhenUsed/>
    <w:qFormat/>
    <w:uiPriority w:val="0"/>
    <w:pPr>
      <w:ind w:left="0" w:firstLine="0"/>
      <w:outlineLvl w:val="3"/>
    </w:pPr>
    <w:rPr>
      <w:rFonts w:asciiTheme="majorHAnsi" w:hAnsiTheme="majorHAnsi" w:cstheme="majorBidi"/>
      <w:sz w:val="24"/>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4">
    <w:name w:val="0正文"/>
    <w:basedOn w:val="1"/>
    <w:qFormat/>
    <w:uiPriority w:val="0"/>
    <w:pPr>
      <w:ind w:firstLine="480"/>
    </w:pPr>
    <w:rPr>
      <w:rFonts w:eastAsia="华文中宋"/>
      <w:color w:val="0070C0"/>
    </w:rPr>
  </w:style>
  <w:style w:type="paragraph" w:styleId="7">
    <w:name w:val="Body Text"/>
    <w:basedOn w:val="1"/>
    <w:qFormat/>
    <w:uiPriority w:val="0"/>
    <w:pPr>
      <w:spacing w:line="360" w:lineRule="auto"/>
      <w:ind w:left="118"/>
    </w:pPr>
    <w:rPr>
      <w:rFonts w:ascii="宋体" w:hAnsi="宋体" w:eastAsia="宋体"/>
      <w:sz w:val="24"/>
      <w:szCs w:val="24"/>
    </w:rPr>
  </w:style>
  <w:style w:type="paragraph" w:styleId="9">
    <w:name w:val="Normal Indent"/>
    <w:basedOn w:val="1"/>
    <w:qFormat/>
    <w:uiPriority w:val="99"/>
    <w:pPr>
      <w:ind w:firstLine="200"/>
    </w:pPr>
    <w:rPr>
      <w:rFonts w:ascii="宋体" w:hAnsi="宋体" w:cs="Times New Roman"/>
      <w:kern w:val="0"/>
      <w:szCs w:val="24"/>
    </w:rPr>
  </w:style>
  <w:style w:type="paragraph" w:styleId="10">
    <w:name w:val="footer"/>
    <w:basedOn w:val="1"/>
    <w:link w:val="20"/>
    <w:unhideWhenUsed/>
    <w:qFormat/>
    <w:uiPriority w:val="99"/>
    <w:pPr>
      <w:tabs>
        <w:tab w:val="center" w:pos="4153"/>
        <w:tab w:val="right" w:pos="8306"/>
      </w:tabs>
      <w:snapToGrid w:val="0"/>
      <w:spacing w:line="240" w:lineRule="atLeast"/>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2">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15">
    <w:name w:val="FollowedHyperlink"/>
    <w:basedOn w:val="14"/>
    <w:semiHidden/>
    <w:unhideWhenUsed/>
    <w:qFormat/>
    <w:uiPriority w:val="99"/>
    <w:rPr>
      <w:color w:val="954F72"/>
      <w:u w:val="single"/>
    </w:rPr>
  </w:style>
  <w:style w:type="character" w:styleId="16">
    <w:name w:val="Hyperlink"/>
    <w:basedOn w:val="14"/>
    <w:semiHidden/>
    <w:unhideWhenUsed/>
    <w:qFormat/>
    <w:uiPriority w:val="99"/>
    <w:rPr>
      <w:color w:val="0000FF"/>
      <w:u w:val="single"/>
    </w:rPr>
  </w:style>
  <w:style w:type="character" w:customStyle="1" w:styleId="17">
    <w:name w:val="标题 1 字符"/>
    <w:basedOn w:val="14"/>
    <w:link w:val="3"/>
    <w:qFormat/>
    <w:uiPriority w:val="9"/>
    <w:rPr>
      <w:rFonts w:eastAsia="黑体" w:asciiTheme="majorHAnsi" w:hAnsiTheme="majorHAnsi" w:cstheme="majorBidi"/>
      <w:kern w:val="44"/>
      <w:sz w:val="32"/>
      <w:szCs w:val="44"/>
    </w:rPr>
  </w:style>
  <w:style w:type="character" w:customStyle="1" w:styleId="18">
    <w:name w:val="标题 2 字符"/>
    <w:basedOn w:val="14"/>
    <w:link w:val="5"/>
    <w:semiHidden/>
    <w:qFormat/>
    <w:uiPriority w:val="9"/>
    <w:rPr>
      <w:rFonts w:asciiTheme="majorHAnsi" w:hAnsiTheme="majorHAnsi" w:eastAsiaTheme="majorEastAsia" w:cstheme="majorBidi"/>
      <w:b/>
      <w:bCs/>
      <w:sz w:val="32"/>
      <w:szCs w:val="32"/>
    </w:rPr>
  </w:style>
  <w:style w:type="character" w:customStyle="1" w:styleId="19">
    <w:name w:val="页眉 字符"/>
    <w:basedOn w:val="14"/>
    <w:link w:val="11"/>
    <w:qFormat/>
    <w:uiPriority w:val="99"/>
    <w:rPr>
      <w:rFonts w:eastAsia="仿宋_GB2312"/>
      <w:sz w:val="18"/>
      <w:szCs w:val="18"/>
    </w:rPr>
  </w:style>
  <w:style w:type="character" w:customStyle="1" w:styleId="20">
    <w:name w:val="页脚 字符"/>
    <w:basedOn w:val="14"/>
    <w:link w:val="10"/>
    <w:qFormat/>
    <w:uiPriority w:val="99"/>
    <w:rPr>
      <w:rFonts w:eastAsia="仿宋_GB2312"/>
      <w:sz w:val="18"/>
      <w:szCs w:val="18"/>
    </w:rPr>
  </w:style>
  <w:style w:type="paragraph" w:customStyle="1" w:styleId="21">
    <w:name w:val="vsbcontent_start"/>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22">
    <w:name w:val="msonormal"/>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23">
    <w:name w:val="font5"/>
    <w:basedOn w:val="1"/>
    <w:qFormat/>
    <w:uiPriority w:val="0"/>
    <w:pPr>
      <w:widowControl/>
      <w:spacing w:before="100" w:beforeAutospacing="1" w:after="100" w:afterAutospacing="1" w:line="240" w:lineRule="auto"/>
      <w:jc w:val="left"/>
    </w:pPr>
    <w:rPr>
      <w:rFonts w:ascii="等线" w:hAnsi="等线" w:eastAsia="等线" w:cs="宋体"/>
      <w:kern w:val="0"/>
      <w:sz w:val="18"/>
      <w:szCs w:val="18"/>
    </w:rPr>
  </w:style>
  <w:style w:type="paragraph" w:customStyle="1" w:styleId="24">
    <w:name w:val="xl63"/>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2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b/>
      <w:bCs/>
      <w:color w:val="000000"/>
      <w:kern w:val="0"/>
      <w:sz w:val="20"/>
      <w:szCs w:val="20"/>
    </w:rPr>
  </w:style>
  <w:style w:type="paragraph" w:customStyle="1" w:styleId="2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b/>
      <w:bCs/>
      <w:color w:val="000000"/>
      <w:kern w:val="0"/>
      <w:sz w:val="20"/>
      <w:szCs w:val="20"/>
    </w:rPr>
  </w:style>
  <w:style w:type="paragraph" w:customStyle="1" w:styleId="2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_GB2312" w:hAnsi="宋体" w:cs="宋体"/>
      <w:color w:val="000000"/>
      <w:kern w:val="0"/>
      <w:sz w:val="20"/>
      <w:szCs w:val="20"/>
    </w:rPr>
  </w:style>
  <w:style w:type="paragraph" w:customStyle="1" w:styleId="2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仿宋_GB2312" w:hAnsi="宋体" w:cs="宋体"/>
      <w:color w:val="000000"/>
      <w:kern w:val="0"/>
      <w:sz w:val="20"/>
      <w:szCs w:val="20"/>
    </w:rPr>
  </w:style>
  <w:style w:type="paragraph" w:customStyle="1" w:styleId="2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仿宋_GB2312" w:hAnsi="宋体" w:cs="宋体"/>
      <w:color w:val="000000"/>
      <w:kern w:val="0"/>
      <w:sz w:val="20"/>
      <w:szCs w:val="20"/>
    </w:rPr>
  </w:style>
  <w:style w:type="paragraph" w:customStyle="1" w:styleId="3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仿宋_GB2312" w:hAnsi="宋体" w:cs="宋体"/>
      <w:color w:val="000000"/>
      <w:kern w:val="0"/>
      <w:sz w:val="20"/>
      <w:szCs w:val="20"/>
    </w:rPr>
  </w:style>
  <w:style w:type="paragraph" w:customStyle="1" w:styleId="31">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仿宋_GB2312" w:hAnsi="宋体" w:cs="宋体"/>
      <w:color w:val="000000"/>
      <w:kern w:val="0"/>
      <w:sz w:val="20"/>
      <w:szCs w:val="20"/>
    </w:rPr>
  </w:style>
  <w:style w:type="paragraph" w:customStyle="1" w:styleId="32">
    <w:name w:val="xl71"/>
    <w:basedOn w:val="1"/>
    <w:qFormat/>
    <w:uiPriority w:val="0"/>
    <w:pPr>
      <w:widowControl/>
      <w:pBdr>
        <w:left w:val="single" w:color="auto" w:sz="4" w:space="0"/>
        <w:right w:val="single" w:color="auto" w:sz="4" w:space="0"/>
      </w:pBdr>
      <w:spacing w:before="100" w:beforeAutospacing="1" w:after="100" w:afterAutospacing="1" w:line="240" w:lineRule="auto"/>
      <w:jc w:val="left"/>
    </w:pPr>
    <w:rPr>
      <w:rFonts w:ascii="仿宋_GB2312" w:hAnsi="宋体" w:cs="宋体"/>
      <w:color w:val="000000"/>
      <w:kern w:val="0"/>
      <w:sz w:val="20"/>
      <w:szCs w:val="20"/>
    </w:rPr>
  </w:style>
  <w:style w:type="paragraph" w:customStyle="1" w:styleId="33">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仿宋_GB2312" w:hAnsi="宋体" w:cs="宋体"/>
      <w:color w:val="000000"/>
      <w:kern w:val="0"/>
      <w:sz w:val="20"/>
      <w:szCs w:val="20"/>
    </w:rPr>
  </w:style>
  <w:style w:type="paragraph" w:customStyle="1" w:styleId="3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仿宋_GB2312" w:hAnsi="宋体" w:cs="宋体"/>
      <w:kern w:val="0"/>
      <w:sz w:val="20"/>
      <w:szCs w:val="20"/>
    </w:rPr>
  </w:style>
  <w:style w:type="paragraph" w:customStyle="1" w:styleId="35">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仿宋_GB2312" w:hAnsi="宋体" w:cs="宋体"/>
      <w:kern w:val="0"/>
      <w:sz w:val="20"/>
      <w:szCs w:val="20"/>
    </w:rPr>
  </w:style>
  <w:style w:type="paragraph" w:customStyle="1" w:styleId="36">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仿宋_GB2312" w:hAnsi="宋体" w:cs="宋体"/>
      <w:kern w:val="0"/>
      <w:sz w:val="20"/>
      <w:szCs w:val="20"/>
    </w:rPr>
  </w:style>
  <w:style w:type="paragraph" w:customStyle="1" w:styleId="37">
    <w:name w:val="xl76"/>
    <w:basedOn w:val="1"/>
    <w:qFormat/>
    <w:uiPriority w:val="0"/>
    <w:pPr>
      <w:widowControl/>
      <w:pBdr>
        <w:left w:val="single" w:color="auto" w:sz="4" w:space="0"/>
        <w:right w:val="single" w:color="auto" w:sz="4" w:space="0"/>
      </w:pBdr>
      <w:spacing w:before="100" w:beforeAutospacing="1" w:after="100" w:afterAutospacing="1" w:line="240" w:lineRule="auto"/>
      <w:jc w:val="left"/>
    </w:pPr>
    <w:rPr>
      <w:rFonts w:ascii="仿宋_GB2312" w:hAnsi="宋体" w:cs="宋体"/>
      <w:kern w:val="0"/>
      <w:sz w:val="20"/>
      <w:szCs w:val="20"/>
    </w:rPr>
  </w:style>
  <w:style w:type="paragraph" w:customStyle="1" w:styleId="3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仿宋_GB2312" w:hAnsi="宋体" w:cs="宋体"/>
      <w:color w:val="000000"/>
      <w:kern w:val="0"/>
      <w:sz w:val="20"/>
      <w:szCs w:val="20"/>
    </w:rPr>
  </w:style>
  <w:style w:type="paragraph" w:customStyle="1" w:styleId="39">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仿宋_GB2312" w:hAnsi="宋体" w:cs="宋体"/>
      <w:kern w:val="0"/>
      <w:sz w:val="20"/>
      <w:szCs w:val="20"/>
    </w:rPr>
  </w:style>
  <w:style w:type="paragraph" w:customStyle="1" w:styleId="40">
    <w:name w:val="xl79"/>
    <w:basedOn w:val="1"/>
    <w:qFormat/>
    <w:uiPriority w:val="0"/>
    <w:pPr>
      <w:widowControl/>
      <w:pBdr>
        <w:left w:val="single" w:color="auto" w:sz="4" w:space="0"/>
        <w:right w:val="single" w:color="auto" w:sz="4" w:space="0"/>
      </w:pBdr>
      <w:spacing w:before="100" w:beforeAutospacing="1" w:after="100" w:afterAutospacing="1" w:line="240" w:lineRule="auto"/>
      <w:jc w:val="left"/>
    </w:pPr>
    <w:rPr>
      <w:rFonts w:ascii="仿宋_GB2312" w:hAnsi="宋体" w:cs="宋体"/>
      <w:kern w:val="0"/>
      <w:sz w:val="20"/>
      <w:szCs w:val="20"/>
    </w:rPr>
  </w:style>
  <w:style w:type="paragraph" w:customStyle="1" w:styleId="41">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仿宋_GB2312" w:hAnsi="宋体" w:cs="宋体"/>
      <w:kern w:val="0"/>
      <w:sz w:val="20"/>
      <w:szCs w:val="20"/>
    </w:rPr>
  </w:style>
  <w:style w:type="paragraph" w:styleId="42">
    <w:name w:val="List Paragraph"/>
    <w:basedOn w:val="1"/>
    <w:qFormat/>
    <w:uiPriority w:val="34"/>
  </w:style>
  <w:style w:type="paragraph" w:customStyle="1" w:styleId="43">
    <w:name w:val="缩进正文"/>
    <w:basedOn w:val="1"/>
    <w:qFormat/>
    <w:uiPriority w:val="0"/>
    <w:pPr>
      <w:ind w:firstLine="420"/>
    </w:pPr>
    <w:rPr>
      <w:rFonts w:ascii="仿宋_GB2312" w:hAnsi="Calibri"/>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1884</Words>
  <Characters>10740</Characters>
  <Lines>89</Lines>
  <Paragraphs>25</Paragraphs>
  <TotalTime>2</TotalTime>
  <ScaleCrop>false</ScaleCrop>
  <LinksUpToDate>false</LinksUpToDate>
  <CharactersWithSpaces>12599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2021-07-06T06:16:00Z</dcterms:created>
  <dc:creator>Administrator</dc:creator>
  <cp:lastModifiedBy>海贼王</cp:lastModifiedBy>
  <dcterms:modified xsi:type="dcterms:W3CDTF">2021-08-27T00:50:24Z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6B7D855C9656484FB545CDB104790857</vt:lpwstr>
  </property>
</Properties>
</file>